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Australian Invoicing — Hands-on Training Workbook</w:t>
      </w:r>
    </w:p>
    <w:p>
      <w:pPr>
        <w:jc w:val="center"/>
      </w:pPr>
      <w:r>
        <w:rPr>
          <w:b/>
        </w:rPr>
        <w:t>ATO Tax Invoice Examples + Bhadale IT Review Framework</w:t>
      </w:r>
    </w:p>
    <w:p>
      <w:r>
        <w:t>Purpose: A practical reference document based on Australian Taxation Office guidance and examples. The sample invoices below use fictional businesses and amounts solely for training.</w:t>
      </w:r>
    </w:p>
    <w:p>
      <w:r>
        <w:rPr>
          <w:b/>
          <w:sz w:val="24"/>
        </w:rPr>
        <w:t>1. Important ATO distinction</w:t>
      </w:r>
    </w:p>
    <w:p>
      <w:r>
        <w:t>The ATO states that the invoice requirements depend on whether a business is registered for GST. A GST-registered business issuing an eligible taxable-supply invoice should use the term “Tax Invoice”. A business that is not registered for GST should issue a standard invoice and should not use the words “tax invoice”.</w:t>
      </w:r>
    </w:p>
    <w:p>
      <w:r>
        <w:t>Source: Australian Taxation Office, “Tax invoices”, current guidance accessed for this workbook. The ATO also provides examples for taxable sales below and above $1,000.</w:t>
      </w:r>
    </w:p>
    <w:p>
      <w:r>
        <w:rPr>
          <w:b/>
          <w:sz w:val="24"/>
        </w:rPr>
        <w:t>2. Sample A — Tax invoice for a taxable sale under A$1,000</w:t>
      </w:r>
    </w:p>
    <w:p>
      <w:r>
        <w:rPr>
          <w:i/>
          <w:sz w:val="18"/>
        </w:rPr>
        <w:t>FICTIONAL TRAINING EXAMPLE — NOT A REAL Bhadale IT INVOICE</w:t>
      </w:r>
    </w:p>
    <w:p>
      <w:r>
        <w:rPr>
          <w:b/>
          <w:sz w:val="32"/>
        </w:rPr>
        <w:t>TAX INVOICE</w:t>
      </w:r>
    </w:p>
    <w:p>
      <w:r>
        <w:t>Windows to Fit Pty Ltd</w:t>
      </w:r>
    </w:p>
    <w:p>
      <w:r>
        <w:t>ABN 32 123 456 789</w:t>
      </w:r>
    </w:p>
    <w:p>
      <w:r>
        <w:t>Date: 1 August 2026</w:t>
      </w:r>
    </w:p>
    <w:p>
      <w:r>
        <w:t>Invoice No.: WF-1001</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Description</w:t>
            </w:r>
          </w:p>
        </w:tc>
        <w:tc>
          <w:tcPr>
            <w:tcW w:type="dxa" w:w="2592"/>
          </w:tcPr>
          <w:p>
            <w:r>
              <w:t>Quantity</w:t>
            </w:r>
          </w:p>
        </w:tc>
        <w:tc>
          <w:tcPr>
            <w:tcW w:type="dxa" w:w="2592"/>
          </w:tcPr>
          <w:p>
            <w:r>
              <w:t>Unit Price</w:t>
            </w:r>
          </w:p>
        </w:tc>
        <w:tc>
          <w:tcPr>
            <w:tcW w:type="dxa" w:w="2592"/>
          </w:tcPr>
          <w:p>
            <w:r>
              <w:t>Amount</w:t>
            </w:r>
          </w:p>
        </w:tc>
      </w:tr>
      <w:tr>
        <w:tc>
          <w:tcPr>
            <w:tcW w:type="dxa" w:w="2592"/>
          </w:tcPr>
          <w:p>
            <w:r>
              <w:t>Window frames</w:t>
            </w:r>
          </w:p>
        </w:tc>
        <w:tc>
          <w:tcPr>
            <w:tcW w:type="dxa" w:w="2592"/>
          </w:tcPr>
          <w:p>
            <w:r>
              <w:t>1</w:t>
            </w:r>
          </w:p>
        </w:tc>
        <w:tc>
          <w:tcPr>
            <w:tcW w:type="dxa" w:w="2592"/>
          </w:tcPr>
          <w:p>
            <w:r>
              <w:t>$880.00</w:t>
            </w:r>
          </w:p>
        </w:tc>
        <w:tc>
          <w:tcPr>
            <w:tcW w:type="dxa" w:w="2592"/>
          </w:tcPr>
          <w:p>
            <w:r>
              <w:t>$880.00</w:t>
            </w:r>
          </w:p>
        </w:tc>
      </w:tr>
    </w:tbl>
    <w:tbl>
      <w:tblPr>
        <w:tblStyle w:val="TableGrid"/>
        <w:tblW w:type="auto" w:w="0"/>
        <w:tblLook w:firstColumn="1" w:firstRow="1" w:lastColumn="0" w:lastRow="0" w:noHBand="0" w:noVBand="1" w:val="04A0"/>
      </w:tblPr>
      <w:tblGrid>
        <w:gridCol w:w="5184"/>
        <w:gridCol w:w="5184"/>
      </w:tblGrid>
      <w:tr>
        <w:tc>
          <w:tcPr>
            <w:tcW w:type="dxa" w:w="5184"/>
          </w:tcPr>
          <w:p>
            <w:r>
              <w:t>Total price</w:t>
            </w:r>
          </w:p>
        </w:tc>
        <w:tc>
          <w:tcPr>
            <w:tcW w:type="dxa" w:w="5184"/>
          </w:tcPr>
          <w:p>
            <w:r>
              <w:t>$880.00</w:t>
            </w:r>
          </w:p>
        </w:tc>
      </w:tr>
      <w:tr>
        <w:tc>
          <w:tcPr>
            <w:tcW w:type="dxa" w:w="5184"/>
          </w:tcPr>
          <w:p>
            <w:r>
              <w:t>GST included</w:t>
            </w:r>
          </w:p>
        </w:tc>
        <w:tc>
          <w:tcPr>
            <w:tcW w:type="dxa" w:w="5184"/>
          </w:tcPr>
          <w:p>
            <w:r>
              <w:t>$80.00</w:t>
            </w:r>
          </w:p>
        </w:tc>
      </w:tr>
    </w:tbl>
    <w:p>
      <w:r>
        <w:t>Learning point: For a taxable sale under $1,000, the ATO says the document must contain enough information to establish that it is intended as a tax invoice, the seller's identity and ABN, issue date, description/quantity and price, GST amount (or an appropriate GST-included statement), and the taxable nature of the sale.</w:t>
      </w:r>
    </w:p>
    <w:p>
      <w:r>
        <w:rPr>
          <w:b/>
          <w:sz w:val="24"/>
        </w:rPr>
        <w:t>3. Sample B — Tax invoice for a taxable sale of A$1,000 or more</w:t>
      </w:r>
    </w:p>
    <w:p>
      <w:r>
        <w:rPr>
          <w:i/>
          <w:sz w:val="18"/>
        </w:rPr>
        <w:t>FICTIONAL TRAINING EXAMPLE — NOT A REAL Bhadale IT INVOICE</w:t>
      </w:r>
    </w:p>
    <w:p>
      <w:r>
        <w:rPr>
          <w:b/>
          <w:sz w:val="32"/>
        </w:rPr>
        <w:t>TAX INVOICE</w:t>
      </w:r>
    </w:p>
    <w:p>
      <w:r>
        <w:t>Example Technology Pty Ltd</w:t>
      </w:r>
    </w:p>
    <w:p>
      <w:r>
        <w:t>ABN 11 222 333 444</w:t>
      </w:r>
    </w:p>
    <w:p>
      <w:r>
        <w:t>Date: 26 September 2026</w:t>
      </w:r>
    </w:p>
    <w:p>
      <w:r>
        <w:t>Invoice No.: ET-2026-014</w:t>
      </w:r>
    </w:p>
    <w:p>
      <w:r>
        <w:t>Bill to: Sample Government Agency | ABN 55 666 777 888</w:t>
      </w:r>
    </w:p>
    <w:p>
      <w:r>
        <w:t>Purchase Order: PO-2026-1042</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Description</w:t>
            </w:r>
          </w:p>
        </w:tc>
        <w:tc>
          <w:tcPr>
            <w:tcW w:type="dxa" w:w="2074"/>
          </w:tcPr>
          <w:p>
            <w:r>
              <w:t>Qty</w:t>
            </w:r>
          </w:p>
        </w:tc>
        <w:tc>
          <w:tcPr>
            <w:tcW w:type="dxa" w:w="2074"/>
          </w:tcPr>
          <w:p>
            <w:r>
              <w:t>Unit Price</w:t>
            </w:r>
          </w:p>
        </w:tc>
        <w:tc>
          <w:tcPr>
            <w:tcW w:type="dxa" w:w="2074"/>
          </w:tcPr>
          <w:p>
            <w:r>
              <w:t>GST</w:t>
            </w:r>
          </w:p>
        </w:tc>
        <w:tc>
          <w:tcPr>
            <w:tcW w:type="dxa" w:w="2074"/>
          </w:tcPr>
          <w:p>
            <w:r>
              <w:t>Amount</w:t>
            </w:r>
          </w:p>
        </w:tc>
      </w:tr>
      <w:tr>
        <w:tc>
          <w:tcPr>
            <w:tcW w:type="dxa" w:w="2074"/>
          </w:tcPr>
          <w:p>
            <w:r>
              <w:t>Technical assessment</w:t>
            </w:r>
          </w:p>
        </w:tc>
        <w:tc>
          <w:tcPr>
            <w:tcW w:type="dxa" w:w="2074"/>
          </w:tcPr>
          <w:p>
            <w:r>
              <w:t>1</w:t>
            </w:r>
          </w:p>
        </w:tc>
        <w:tc>
          <w:tcPr>
            <w:tcW w:type="dxa" w:w="2074"/>
          </w:tcPr>
          <w:p>
            <w:r>
              <w:t>$1,100.00</w:t>
            </w:r>
          </w:p>
        </w:tc>
        <w:tc>
          <w:tcPr>
            <w:tcW w:type="dxa" w:w="2074"/>
          </w:tcPr>
          <w:p>
            <w:r>
              <w:t>$110.00</w:t>
            </w:r>
          </w:p>
        </w:tc>
        <w:tc>
          <w:tcPr>
            <w:tcW w:type="dxa" w:w="2074"/>
          </w:tcPr>
          <w:p>
            <w:r>
              <w:t>$1,210.00</w:t>
            </w:r>
          </w:p>
        </w:tc>
      </w:tr>
      <w:tr>
        <w:tc>
          <w:tcPr>
            <w:tcW w:type="dxa" w:w="2074"/>
          </w:tcPr>
          <w:p>
            <w:r>
              <w:t>Technical report</w:t>
            </w:r>
          </w:p>
        </w:tc>
        <w:tc>
          <w:tcPr>
            <w:tcW w:type="dxa" w:w="2074"/>
          </w:tcPr>
          <w:p>
            <w:r>
              <w:t>1</w:t>
            </w:r>
          </w:p>
        </w:tc>
        <w:tc>
          <w:tcPr>
            <w:tcW w:type="dxa" w:w="2074"/>
          </w:tcPr>
          <w:p>
            <w:r>
              <w:t>$800.00</w:t>
            </w:r>
          </w:p>
        </w:tc>
        <w:tc>
          <w:tcPr>
            <w:tcW w:type="dxa" w:w="2074"/>
          </w:tcPr>
          <w:p>
            <w:r>
              <w:t>$80.00</w:t>
            </w:r>
          </w:p>
        </w:tc>
        <w:tc>
          <w:tcPr>
            <w:tcW w:type="dxa" w:w="2074"/>
          </w:tcPr>
          <w:p>
            <w:r>
              <w:t>$880.00</w:t>
            </w:r>
          </w:p>
        </w:tc>
      </w:tr>
    </w:tbl>
    <w:tbl>
      <w:tblPr>
        <w:tblStyle w:val="TableGrid"/>
        <w:tblW w:type="auto" w:w="0"/>
        <w:tblLook w:firstColumn="1" w:firstRow="1" w:lastColumn="0" w:lastRow="0" w:noHBand="0" w:noVBand="1" w:val="04A0"/>
      </w:tblPr>
      <w:tblGrid>
        <w:gridCol w:w="5184"/>
        <w:gridCol w:w="5184"/>
      </w:tblGrid>
      <w:tr>
        <w:tc>
          <w:tcPr>
            <w:tcW w:type="dxa" w:w="5184"/>
          </w:tcPr>
          <w:p>
            <w:r>
              <w:t>Subtotal</w:t>
            </w:r>
          </w:p>
        </w:tc>
        <w:tc>
          <w:tcPr>
            <w:tcW w:type="dxa" w:w="5184"/>
          </w:tcPr>
          <w:p>
            <w:r>
              <w:t>$1,900.00</w:t>
            </w:r>
          </w:p>
        </w:tc>
      </w:tr>
      <w:tr>
        <w:tc>
          <w:tcPr>
            <w:tcW w:type="dxa" w:w="5184"/>
          </w:tcPr>
          <w:p>
            <w:r>
              <w:t>Total GST</w:t>
            </w:r>
          </w:p>
        </w:tc>
        <w:tc>
          <w:tcPr>
            <w:tcW w:type="dxa" w:w="5184"/>
          </w:tcPr>
          <w:p>
            <w:r>
              <w:t>$190.00</w:t>
            </w:r>
          </w:p>
        </w:tc>
      </w:tr>
      <w:tr>
        <w:tc>
          <w:tcPr>
            <w:tcW w:type="dxa" w:w="5184"/>
          </w:tcPr>
          <w:p>
            <w:r>
              <w:t>Total amount payable</w:t>
            </w:r>
          </w:p>
        </w:tc>
        <w:tc>
          <w:tcPr>
            <w:tcW w:type="dxa" w:w="5184"/>
          </w:tcPr>
          <w:p>
            <w:r>
              <w:t>$2,090.00</w:t>
            </w:r>
          </w:p>
        </w:tc>
      </w:tr>
      <w:tr>
        <w:tc>
          <w:tcPr>
            <w:tcW w:type="dxa" w:w="5184"/>
          </w:tcPr>
          <w:p>
            <w:r>
              <w:t>Payment terms</w:t>
            </w:r>
          </w:p>
        </w:tc>
        <w:tc>
          <w:tcPr>
            <w:tcW w:type="dxa" w:w="5184"/>
          </w:tcPr>
          <w:p>
            <w:r>
              <w:t>30 days from invoice date</w:t>
            </w:r>
          </w:p>
        </w:tc>
      </w:tr>
    </w:tbl>
    <w:p>
      <w:r>
        <w:t>Learning point: For taxable sales of $1,000 or more, the ATO says the buyer's identity or ABN also needs to be shown. The example also illustrates a purchase order number and line-level descriptions.</w:t>
      </w:r>
    </w:p>
    <w:p>
      <w:r>
        <w:rPr>
          <w:b/>
          <w:sz w:val="24"/>
        </w:rPr>
        <w:t>4. Sample C — Standard invoice where supplier is NOT registered for GST</w:t>
      </w:r>
    </w:p>
    <w:p>
      <w:r>
        <w:rPr>
          <w:i/>
          <w:sz w:val="18"/>
        </w:rPr>
        <w:t>FICTIONAL TRAINING EXAMPLE — NOT A REAL Bhadale IT INVOICE</w:t>
      </w:r>
    </w:p>
    <w:p>
      <w:r>
        <w:rPr>
          <w:b/>
          <w:sz w:val="32"/>
        </w:rPr>
        <w:t>INVOICE</w:t>
      </w:r>
    </w:p>
    <w:p>
      <w:r>
        <w:t>Example Consulting — Sole Trader</w:t>
      </w:r>
    </w:p>
    <w:p>
      <w:r>
        <w:t>ABN: 00 000 000 000 (FICTIONAL TRAINING PLACEHOLDER ONLY)</w:t>
      </w:r>
    </w:p>
    <w:p>
      <w:r>
        <w:t>Date: 26 September 2026</w:t>
      </w:r>
    </w:p>
    <w:p>
      <w:r>
        <w:t>Invoice No.: EC-026</w:t>
      </w:r>
    </w:p>
    <w:p>
      <w:r>
        <w:t>Bill to: Sample Customer</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Description</w:t>
            </w:r>
          </w:p>
        </w:tc>
        <w:tc>
          <w:tcPr>
            <w:tcW w:type="dxa" w:w="2592"/>
          </w:tcPr>
          <w:p>
            <w:r>
              <w:t>Qty</w:t>
            </w:r>
          </w:p>
        </w:tc>
        <w:tc>
          <w:tcPr>
            <w:tcW w:type="dxa" w:w="2592"/>
          </w:tcPr>
          <w:p>
            <w:r>
              <w:t>Unit Price</w:t>
            </w:r>
          </w:p>
        </w:tc>
        <w:tc>
          <w:tcPr>
            <w:tcW w:type="dxa" w:w="2592"/>
          </w:tcPr>
          <w:p>
            <w:r>
              <w:t>Amount</w:t>
            </w:r>
          </w:p>
        </w:tc>
      </w:tr>
      <w:tr>
        <w:tc>
          <w:tcPr>
            <w:tcW w:type="dxa" w:w="2592"/>
          </w:tcPr>
          <w:p>
            <w:r>
              <w:t>Business advisory service</w:t>
            </w:r>
          </w:p>
        </w:tc>
        <w:tc>
          <w:tcPr>
            <w:tcW w:type="dxa" w:w="2592"/>
          </w:tcPr>
          <w:p>
            <w:r>
              <w:t>1</w:t>
            </w:r>
          </w:p>
        </w:tc>
        <w:tc>
          <w:tcPr>
            <w:tcW w:type="dxa" w:w="2592"/>
          </w:tcPr>
          <w:p>
            <w:r>
              <w:t>$900.00</w:t>
            </w:r>
          </w:p>
        </w:tc>
        <w:tc>
          <w:tcPr>
            <w:tcW w:type="dxa" w:w="2592"/>
          </w:tcPr>
          <w:p>
            <w:r>
              <w:t>$900.00</w:t>
            </w:r>
          </w:p>
        </w:tc>
      </w:tr>
    </w:tbl>
    <w:tbl>
      <w:tblPr>
        <w:tblStyle w:val="TableGrid"/>
        <w:tblW w:type="auto" w:w="0"/>
        <w:tblLook w:firstColumn="1" w:firstRow="1" w:lastColumn="0" w:lastRow="0" w:noHBand="0" w:noVBand="1" w:val="04A0"/>
      </w:tblPr>
      <w:tblGrid>
        <w:gridCol w:w="5184"/>
        <w:gridCol w:w="5184"/>
      </w:tblGrid>
      <w:tr>
        <w:tc>
          <w:tcPr>
            <w:tcW w:type="dxa" w:w="5184"/>
          </w:tcPr>
          <w:p>
            <w:r>
              <w:t>Total</w:t>
            </w:r>
          </w:p>
        </w:tc>
        <w:tc>
          <w:tcPr>
            <w:tcW w:type="dxa" w:w="5184"/>
          </w:tcPr>
          <w:p>
            <w:r>
              <w:t>$900.00</w:t>
            </w:r>
          </w:p>
        </w:tc>
      </w:tr>
      <w:tr>
        <w:tc>
          <w:tcPr>
            <w:tcW w:type="dxa" w:w="5184"/>
          </w:tcPr>
          <w:p>
            <w:r>
              <w:t>GST</w:t>
            </w:r>
          </w:p>
        </w:tc>
        <w:tc>
          <w:tcPr>
            <w:tcW w:type="dxa" w:w="5184"/>
          </w:tcPr>
          <w:p>
            <w:r>
              <w:t>Not charged — supplier not registered for GST</w:t>
            </w:r>
          </w:p>
        </w:tc>
      </w:tr>
      <w:tr>
        <w:tc>
          <w:tcPr>
            <w:tcW w:type="dxa" w:w="5184"/>
          </w:tcPr>
          <w:p>
            <w:r>
              <w:t>Amount payable</w:t>
            </w:r>
          </w:p>
        </w:tc>
        <w:tc>
          <w:tcPr>
            <w:tcW w:type="dxa" w:w="5184"/>
          </w:tcPr>
          <w:p>
            <w:r>
              <w:t>$900.00</w:t>
            </w:r>
          </w:p>
        </w:tc>
      </w:tr>
    </w:tbl>
    <w:p>
      <w:r>
        <w:t>Learning point: The ATO's current guidance says that if a business is not registered for GST, it should issue a standard invoice rather than use the words “tax invoice”.</w:t>
      </w:r>
    </w:p>
    <w:p>
      <w:r>
        <w:rPr>
          <w:b/>
          <w:sz w:val="24"/>
        </w:rPr>
        <w:t>5. Sample D — Mixed taxable and non-taxable supplies</w:t>
      </w:r>
    </w:p>
    <w:p>
      <w:r>
        <w:rPr>
          <w:i/>
          <w:sz w:val="18"/>
        </w:rPr>
        <w:t>FICTIONAL TRAINING EXAMPLE — simplified illustration based on ATO mixed-supply examples</w:t>
      </w:r>
    </w:p>
    <w:p>
      <w:r>
        <w:rPr>
          <w:b/>
          <w:sz w:val="32"/>
        </w:rPr>
        <w:t>TAX INVOICE</w:t>
      </w:r>
    </w:p>
    <w:p>
      <w:r>
        <w:t>Example Services Pty Ltd | ABN 22 333 444 555</w:t>
      </w:r>
    </w:p>
    <w:p>
      <w:r>
        <w:t>Date: 26 September 2026 | Invoice No.: ES-301</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Supply</w:t>
            </w:r>
          </w:p>
        </w:tc>
        <w:tc>
          <w:tcPr>
            <w:tcW w:type="dxa" w:w="2592"/>
          </w:tcPr>
          <w:p>
            <w:r>
              <w:t>Price</w:t>
            </w:r>
          </w:p>
        </w:tc>
        <w:tc>
          <w:tcPr>
            <w:tcW w:type="dxa" w:w="2592"/>
          </w:tcPr>
          <w:p>
            <w:r>
              <w:t>GST</w:t>
            </w:r>
          </w:p>
        </w:tc>
        <w:tc>
          <w:tcPr>
            <w:tcW w:type="dxa" w:w="2592"/>
          </w:tcPr>
          <w:p>
            <w:r>
              <w:t>Taxable?</w:t>
            </w:r>
          </w:p>
        </w:tc>
      </w:tr>
      <w:tr>
        <w:tc>
          <w:tcPr>
            <w:tcW w:type="dxa" w:w="2592"/>
          </w:tcPr>
          <w:p>
            <w:r>
              <w:t>Taxable consulting service</w:t>
            </w:r>
          </w:p>
        </w:tc>
        <w:tc>
          <w:tcPr>
            <w:tcW w:type="dxa" w:w="2592"/>
          </w:tcPr>
          <w:p>
            <w:r>
              <w:t>$550.00</w:t>
            </w:r>
          </w:p>
        </w:tc>
        <w:tc>
          <w:tcPr>
            <w:tcW w:type="dxa" w:w="2592"/>
          </w:tcPr>
          <w:p>
            <w:r>
              <w:t>$50.00</w:t>
            </w:r>
          </w:p>
        </w:tc>
        <w:tc>
          <w:tcPr>
            <w:tcW w:type="dxa" w:w="2592"/>
          </w:tcPr>
          <w:p>
            <w:r>
              <w:t>Yes</w:t>
            </w:r>
          </w:p>
        </w:tc>
      </w:tr>
      <w:tr>
        <w:tc>
          <w:tcPr>
            <w:tcW w:type="dxa" w:w="2592"/>
          </w:tcPr>
          <w:p>
            <w:r>
              <w:t>GST-free item/service</w:t>
            </w:r>
          </w:p>
        </w:tc>
        <w:tc>
          <w:tcPr>
            <w:tcW w:type="dxa" w:w="2592"/>
          </w:tcPr>
          <w:p>
            <w:r>
              <w:t>$300.00</w:t>
            </w:r>
          </w:p>
        </w:tc>
        <w:tc>
          <w:tcPr>
            <w:tcW w:type="dxa" w:w="2592"/>
          </w:tcPr>
          <w:p>
            <w:r>
              <w:t>$0.00</w:t>
            </w:r>
          </w:p>
        </w:tc>
        <w:tc>
          <w:tcPr>
            <w:tcW w:type="dxa" w:w="2592"/>
          </w:tcPr>
          <w:p>
            <w:r>
              <w:t>No</w:t>
            </w:r>
          </w:p>
        </w:tc>
      </w:tr>
    </w:tbl>
    <w:tbl>
      <w:tblPr>
        <w:tblStyle w:val="TableGrid"/>
        <w:tblW w:type="auto" w:w="0"/>
        <w:tblLook w:firstColumn="1" w:firstRow="1" w:lastColumn="0" w:lastRow="0" w:noHBand="0" w:noVBand="1" w:val="04A0"/>
      </w:tblPr>
      <w:tblGrid>
        <w:gridCol w:w="5184"/>
        <w:gridCol w:w="5184"/>
      </w:tblGrid>
      <w:tr>
        <w:tc>
          <w:tcPr>
            <w:tcW w:type="dxa" w:w="5184"/>
          </w:tcPr>
          <w:p>
            <w:r>
              <w:t>Total price</w:t>
            </w:r>
          </w:p>
        </w:tc>
        <w:tc>
          <w:tcPr>
            <w:tcW w:type="dxa" w:w="5184"/>
          </w:tcPr>
          <w:p>
            <w:r>
              <w:t>$850.00</w:t>
            </w:r>
          </w:p>
        </w:tc>
      </w:tr>
      <w:tr>
        <w:tc>
          <w:tcPr>
            <w:tcW w:type="dxa" w:w="5184"/>
          </w:tcPr>
          <w:p>
            <w:r>
              <w:t>Total GST</w:t>
            </w:r>
          </w:p>
        </w:tc>
        <w:tc>
          <w:tcPr>
            <w:tcW w:type="dxa" w:w="5184"/>
          </w:tcPr>
          <w:p>
            <w:r>
              <w:t>$50.00</w:t>
            </w:r>
          </w:p>
        </w:tc>
      </w:tr>
    </w:tbl>
    <w:p>
      <w:r>
        <w:t>Learning point: The ATO requires enough information to determine the extent to which each supply is taxable and the GST payable.</w:t>
      </w:r>
    </w:p>
    <w:p>
      <w:r>
        <w:rPr>
          <w:b/>
          <w:sz w:val="24"/>
        </w:rPr>
        <w:t>6. Bhadale IT — current position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t>Australian ABN</w:t>
            </w:r>
          </w:p>
        </w:tc>
        <w:tc>
          <w:tcPr>
            <w:tcW w:type="dxa" w:w="5184"/>
            <w:vAlign w:val="center"/>
          </w:tcPr>
          <w:p>
            <w:r>
              <w:t>Not currently held</w:t>
            </w:r>
          </w:p>
        </w:tc>
      </w:tr>
      <w:tr>
        <w:tc>
          <w:tcPr>
            <w:tcW w:type="dxa" w:w="5184"/>
            <w:vAlign w:val="center"/>
          </w:tcPr>
          <w:p>
            <w:r>
              <w:t>Australian GST registration</w:t>
            </w:r>
          </w:p>
        </w:tc>
        <w:tc>
          <w:tcPr>
            <w:tcW w:type="dxa" w:w="5184"/>
            <w:vAlign w:val="center"/>
          </w:tcPr>
          <w:p>
            <w:r>
              <w:t>Not currently held</w:t>
            </w:r>
          </w:p>
        </w:tc>
      </w:tr>
      <w:tr>
        <w:tc>
          <w:tcPr>
            <w:tcW w:type="dxa" w:w="5184"/>
            <w:vAlign w:val="center"/>
          </w:tcPr>
          <w:p>
            <w:r>
              <w:t>Australian company</w:t>
            </w:r>
          </w:p>
        </w:tc>
        <w:tc>
          <w:tcPr>
            <w:tcW w:type="dxa" w:w="5184"/>
            <w:vAlign w:val="center"/>
          </w:tcPr>
          <w:p>
            <w:r>
              <w:t>None currently</w:t>
            </w:r>
          </w:p>
        </w:tc>
      </w:tr>
      <w:tr>
        <w:tc>
          <w:tcPr>
            <w:tcW w:type="dxa" w:w="5184"/>
            <w:vAlign w:val="center"/>
          </w:tcPr>
          <w:p>
            <w:r>
              <w:t>Current head office</w:t>
            </w:r>
          </w:p>
        </w:tc>
        <w:tc>
          <w:tcPr>
            <w:tcW w:type="dxa" w:w="5184"/>
            <w:vAlign w:val="center"/>
          </w:tcPr>
          <w:p>
            <w:r>
              <w:t>Belgaum (Belagavi), Karnataka, India</w:t>
            </w:r>
          </w:p>
        </w:tc>
      </w:tr>
      <w:tr>
        <w:tc>
          <w:tcPr>
            <w:tcW w:type="dxa" w:w="5184"/>
            <w:vAlign w:val="center"/>
          </w:tcPr>
          <w:p>
            <w:r>
              <w:t>Current Australian tax invoice status</w:t>
            </w:r>
          </w:p>
        </w:tc>
        <w:tc>
          <w:tcPr>
            <w:tcW w:type="dxa" w:w="5184"/>
            <w:vAlign w:val="center"/>
          </w:tcPr>
          <w:p>
            <w:r>
              <w:t>Do not use an Australian “Tax Invoice” template as if Bhadale IT were GST-registered</w:t>
            </w:r>
          </w:p>
        </w:tc>
      </w:tr>
    </w:tbl>
    <w:p>
      <w:r>
        <w:t>This workbook is for Australia-readiness training. If Bhadale IT later establishes an Australian taxable presence or becomes registered for GST, the applicable invoicing, ABN, GST and tax requirements should be confirmed with the ATO and a qualified accountant.</w:t>
      </w:r>
    </w:p>
    <w:p>
      <w:r>
        <w:rPr>
          <w:b/>
          <w:sz w:val="24"/>
        </w:rPr>
        <w:t>7. Invoice review checklist</w:t>
      </w:r>
    </w:p>
    <w:p>
      <w:pPr>
        <w:pStyle w:val="ListBullet"/>
      </w:pPr>
      <w:r>
        <w:t>Correct supplier legal/business identity</w:t>
      </w:r>
    </w:p>
    <w:p>
      <w:pPr>
        <w:pStyle w:val="ListBullet"/>
      </w:pPr>
      <w:r>
        <w:t>Correct ABN where applicable</w:t>
      </w:r>
    </w:p>
    <w:p>
      <w:pPr>
        <w:pStyle w:val="ListBullet"/>
      </w:pPr>
      <w:r>
        <w:t>Correct document heading — Tax Invoice vs standard Invoice</w:t>
      </w:r>
    </w:p>
    <w:p>
      <w:pPr>
        <w:pStyle w:val="ListBullet"/>
      </w:pPr>
      <w:r>
        <w:t>Invoice number</w:t>
      </w:r>
    </w:p>
    <w:p>
      <w:pPr>
        <w:pStyle w:val="ListBullet"/>
      </w:pPr>
      <w:r>
        <w:t>Issue date</w:t>
      </w:r>
    </w:p>
    <w:p>
      <w:pPr>
        <w:pStyle w:val="ListBullet"/>
      </w:pPr>
      <w:r>
        <w:t>Customer identity / ABN where required</w:t>
      </w:r>
    </w:p>
    <w:p>
      <w:pPr>
        <w:pStyle w:val="ListBullet"/>
      </w:pPr>
      <w:r>
        <w:t>Purchase order number where issued</w:t>
      </w:r>
    </w:p>
    <w:p>
      <w:pPr>
        <w:pStyle w:val="ListBullet"/>
      </w:pPr>
      <w:r>
        <w:t>Clear description of goods/services</w:t>
      </w:r>
    </w:p>
    <w:p>
      <w:pPr>
        <w:pStyle w:val="ListBullet"/>
      </w:pPr>
      <w:r>
        <w:t>Quantity where applicable</w:t>
      </w:r>
    </w:p>
    <w:p>
      <w:pPr>
        <w:pStyle w:val="ListBullet"/>
      </w:pPr>
      <w:r>
        <w:t>Price / line amounts</w:t>
      </w:r>
    </w:p>
    <w:p>
      <w:pPr>
        <w:pStyle w:val="ListBullet"/>
      </w:pPr>
      <w:r>
        <w:t>GST treatment clearly identifiable</w:t>
      </w:r>
    </w:p>
    <w:p>
      <w:pPr>
        <w:pStyle w:val="ListBullet"/>
      </w:pPr>
      <w:r>
        <w:t>Total GST where applicable</w:t>
      </w:r>
    </w:p>
    <w:p>
      <w:pPr>
        <w:pStyle w:val="ListBullet"/>
      </w:pPr>
      <w:r>
        <w:t>Total amount payable</w:t>
      </w:r>
    </w:p>
    <w:p>
      <w:pPr>
        <w:pStyle w:val="ListBullet"/>
      </w:pPr>
      <w:r>
        <w:t>Payment terms</w:t>
      </w:r>
    </w:p>
    <w:p>
      <w:pPr>
        <w:pStyle w:val="ListBullet"/>
      </w:pPr>
      <w:r>
        <w:t>Correct accounts-payable submission channel</w:t>
      </w:r>
    </w:p>
    <w:p>
      <w:pPr>
        <w:pStyle w:val="ListBullet"/>
      </w:pPr>
      <w:r>
        <w:t>Supporting documents requested by the customer</w:t>
      </w:r>
    </w:p>
    <w:p>
      <w:r>
        <w:rPr>
          <w:b/>
          <w:sz w:val="24"/>
        </w:rPr>
        <w:t>8. Practical exercise for Bhadale IT</w:t>
      </w:r>
    </w:p>
    <w:p>
      <w:r>
        <w:t>When we eventually have an appropriate Australian customer scenario, create three versions for practice: (1) a small taxable sale, (2) a larger government/enterprise engagement with a purchase order, and (3) a non-GST standard invoice scenario if applicable. Use fictional training data first; replace it only with verified legal, ABN, GST, customer and contract information when a real engagement exists.</w:t>
      </w:r>
    </w:p>
    <w:p>
      <w:r>
        <w:rPr>
          <w:b/>
          <w:sz w:val="24"/>
        </w:rPr>
        <w:t>Source and review note</w:t>
      </w:r>
    </w:p>
    <w:p>
      <w:r>
        <w:t>Primary source: Australian Taxation Office, Tax invoices and related GST guidance. The ATO's current guidance confirms that invoice requirements depend on GST registration and provides examples for sales under and over A$1,000. This workbook paraphrases those requirements and creates additional fictional training examples; it is not tax or legal advice.</w:t>
      </w:r>
    </w:p>
    <w:p>
      <w:pPr>
        <w:jc w:val="center"/>
      </w:pPr>
      <w:r>
        <w:rPr>
          <w:i/>
          <w:sz w:val="18"/>
        </w:rPr>
        <w:t>Training reference — verify current ATO requirements before issuing a real Australian invoice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