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BHADALE IT</w:t>
      </w:r>
    </w:p>
    <w:p>
      <w:pPr>
        <w:jc w:val="center"/>
      </w:pPr>
      <w:r>
        <w:rPr>
          <w:b/>
          <w:sz w:val="28"/>
        </w:rPr>
        <w:t>Proposal Development &amp; Pricing Framework</w:t>
      </w:r>
    </w:p>
    <w:p>
      <w:pPr>
        <w:jc w:val="center"/>
      </w:pPr>
      <w:r>
        <w:rPr>
          <w:i/>
          <w:sz w:val="20"/>
        </w:rPr>
        <w:t>Australia SME / Government Procurement Training — Reference Notes</w:t>
      </w:r>
    </w:p>
    <w:p>
      <w:r>
        <w:t>Purpose: Reference guide developed from the proposal-writing and pricing exercise. Use this framework after the Bid/No-Bid stage and adapt it to the requirements of each individual opportunity.</w:t>
      </w:r>
    </w:p>
    <w:p>
      <w:r>
        <w:rPr>
          <w:b/>
          <w:sz w:val="26"/>
        </w:rPr>
        <w:t>1. Simple Proposal — Five Key Points</w:t>
      </w:r>
    </w:p>
    <w:p>
      <w:r>
        <w:rPr>
          <w:b/>
          <w:sz w:val="23"/>
        </w:rPr>
        <w:t>1.1 Introduction</w:t>
      </w:r>
    </w:p>
    <w:p>
      <w:r>
        <w:t>Thank the customer for the opportunity. Summarise what is being proposed in one sentence. State whether Bhadale IT is willing to amend or refine the proposal to better suit the customer's requirements.</w:t>
      </w:r>
    </w:p>
    <w:p>
      <w:r>
        <w:t>Example structure: “Bhadale IT proposes to undertake a defined technical proof-of-concept to assess, design and demonstrate [solution] against the customer's stated requirements. We would be pleased to refine the proposed approach in consultation with the customer.”</w:t>
      </w:r>
    </w:p>
    <w:p>
      <w:r>
        <w:rPr>
          <w:b/>
          <w:sz w:val="23"/>
        </w:rPr>
        <w:t>1.2 Background</w:t>
      </w:r>
    </w:p>
    <w:p>
      <w:r>
        <w:t>Summarise Bhadale IT's relevant skills and experience and explain why the opportunity is relevant. Keep this section concise and focused on evidence relevant to the customer's requirement.</w:t>
      </w:r>
    </w:p>
    <w:p>
      <w:pPr>
        <w:pStyle w:val="ListBullet"/>
      </w:pPr>
      <w:r>
        <w:t>Use the Business Pitch / Capability Statement as the source for the company summary.</w:t>
      </w:r>
    </w:p>
    <w:p>
      <w:pPr>
        <w:pStyle w:val="ListBullet"/>
      </w:pPr>
      <w:r>
        <w:t>Highlight relevant AI, Quantum AI, cloud, data, cybersecurity, software and systems-engineering capabilities.</w:t>
      </w:r>
    </w:p>
    <w:p>
      <w:pPr>
        <w:pStyle w:val="ListBullet"/>
      </w:pPr>
      <w:r>
        <w:t>Distinguish established capability from R&amp;D, prototypes and future offerings.</w:t>
      </w:r>
    </w:p>
    <w:p>
      <w:pPr>
        <w:pStyle w:val="ListBullet"/>
      </w:pPr>
      <w:r>
        <w:t>Avoid unrelated company history.</w:t>
      </w:r>
    </w:p>
    <w:p>
      <w:r>
        <w:rPr>
          <w:b/>
          <w:sz w:val="23"/>
        </w:rPr>
        <w:t>1.3 Deliverables</w:t>
      </w:r>
    </w:p>
    <w:p>
      <w:r>
        <w:t>Clearly state what Bhadale IT will deliver if selected, who will deliver it, relevant recent work, and what Bhadale IT cannot deliver.</w:t>
      </w:r>
    </w:p>
    <w:p>
      <w:pPr>
        <w:pStyle w:val="ListBullet"/>
      </w:pPr>
      <w:r>
        <w:t>Technical assessment</w:t>
      </w:r>
    </w:p>
    <w:p>
      <w:pPr>
        <w:pStyle w:val="ListBullet"/>
      </w:pPr>
      <w:r>
        <w:t>Architecture / design</w:t>
      </w:r>
    </w:p>
    <w:p>
      <w:pPr>
        <w:pStyle w:val="ListBullet"/>
      </w:pPr>
      <w:r>
        <w:t>Prototype or proof of concept</w:t>
      </w:r>
    </w:p>
    <w:p>
      <w:pPr>
        <w:pStyle w:val="ListBullet"/>
      </w:pPr>
      <w:r>
        <w:t>Digital-twin model</w:t>
      </w:r>
    </w:p>
    <w:p>
      <w:pPr>
        <w:pStyle w:val="ListBullet"/>
      </w:pPr>
      <w:r>
        <w:t>Simulation / emulation</w:t>
      </w:r>
    </w:p>
    <w:p>
      <w:pPr>
        <w:pStyle w:val="ListBullet"/>
      </w:pPr>
      <w:r>
        <w:t>Software components</w:t>
      </w:r>
    </w:p>
    <w:p>
      <w:pPr>
        <w:pStyle w:val="ListBullet"/>
      </w:pPr>
      <w:r>
        <w:t>Evaluation and technical report</w:t>
      </w:r>
    </w:p>
    <w:p>
      <w:pPr>
        <w:pStyle w:val="ListBullet"/>
      </w:pPr>
      <w:r>
        <w:t>Recommendations</w:t>
      </w:r>
    </w:p>
    <w:p>
      <w:pPr>
        <w:pStyle w:val="ListBullet"/>
      </w:pPr>
      <w:r>
        <w:t>Demonstration and documentation</w:t>
      </w:r>
    </w:p>
    <w:p>
      <w:pPr>
        <w:pStyle w:val="ListBullet"/>
      </w:pPr>
      <w:r>
        <w:t>Identify delivery personnel and any partners/subcontractors actually engaged.</w:t>
      </w:r>
    </w:p>
    <w:p>
      <w:pPr>
        <w:pStyle w:val="ListBullet"/>
      </w:pPr>
      <w:r>
        <w:t>Explicitly state exclusions, dependencies and capabilities that are outside the agreed scope.</w:t>
      </w:r>
    </w:p>
    <w:p>
      <w:r>
        <w:rPr>
          <w:b/>
          <w:sz w:val="23"/>
        </w:rPr>
        <w:t>1.4 Timeline</w:t>
      </w:r>
    </w:p>
    <w:p>
      <w:r>
        <w:t>Provide a realistic high-level delivery schedule. State assumptions such as customer information availability, system/data access, review availability, third-party services, hardware, licences and remote/on-site requirements.</w:t>
      </w:r>
    </w:p>
    <w:tbl>
      <w:tblPr>
        <w:tblStyle w:val="TableGrid"/>
        <w:tblW w:type="auto" w:w="0"/>
        <w:tblLook w:firstColumn="1" w:firstRow="1" w:lastColumn="0" w:lastRow="0" w:noHBand="0" w:noVBand="1" w:val="04A0"/>
      </w:tblPr>
      <w:tblGrid>
        <w:gridCol w:w="5040"/>
        <w:gridCol w:w="5040"/>
      </w:tblGrid>
      <w:tr>
        <w:tc>
          <w:tcPr>
            <w:tcW w:type="dxa" w:w="5040"/>
          </w:tcPr>
          <w:p>
            <w:r>
              <w:t>Indicative stage</w:t>
            </w:r>
          </w:p>
        </w:tc>
        <w:tc>
          <w:tcPr>
            <w:tcW w:type="dxa" w:w="5040"/>
          </w:tcPr>
          <w:p>
            <w:r>
              <w:t>Typical activity</w:t>
            </w:r>
          </w:p>
        </w:tc>
      </w:tr>
      <w:tr>
        <w:tc>
          <w:tcPr>
            <w:tcW w:type="dxa" w:w="5040"/>
          </w:tcPr>
          <w:p>
            <w:r>
              <w:t>1. Requirements &amp; discovery</w:t>
            </w:r>
          </w:p>
        </w:tc>
        <w:tc>
          <w:tcPr>
            <w:tcW w:type="dxa" w:w="5040"/>
          </w:tcPr>
          <w:p>
            <w:r>
              <w:t>Confirm objectives, scope, constraints and acceptance criteria</w:t>
            </w:r>
          </w:p>
        </w:tc>
      </w:tr>
      <w:tr>
        <w:tc>
          <w:tcPr>
            <w:tcW w:type="dxa" w:w="5040"/>
          </w:tcPr>
          <w:p>
            <w:r>
              <w:t>2. Architecture / baseline</w:t>
            </w:r>
          </w:p>
        </w:tc>
        <w:tc>
          <w:tcPr>
            <w:tcW w:type="dxa" w:w="5040"/>
          </w:tcPr>
          <w:p>
            <w:r>
              <w:t>Define technical architecture and baseline approach</w:t>
            </w:r>
          </w:p>
        </w:tc>
      </w:tr>
      <w:tr>
        <w:tc>
          <w:tcPr>
            <w:tcW w:type="dxa" w:w="5040"/>
          </w:tcPr>
          <w:p>
            <w:r>
              <w:t>3. Prototype / simulation</w:t>
            </w:r>
          </w:p>
        </w:tc>
        <w:tc>
          <w:tcPr>
            <w:tcW w:type="dxa" w:w="5040"/>
          </w:tcPr>
          <w:p>
            <w:r>
              <w:t>Develop the agreed prototype, simulation or emulation</w:t>
            </w:r>
          </w:p>
        </w:tc>
      </w:tr>
      <w:tr>
        <w:tc>
          <w:tcPr>
            <w:tcW w:type="dxa" w:w="5040"/>
          </w:tcPr>
          <w:p>
            <w:r>
              <w:t>4. Testing &amp; evaluation</w:t>
            </w:r>
          </w:p>
        </w:tc>
        <w:tc>
          <w:tcPr>
            <w:tcW w:type="dxa" w:w="5040"/>
          </w:tcPr>
          <w:p>
            <w:r>
              <w:t>Run agreed tests and evaluate results</w:t>
            </w:r>
          </w:p>
        </w:tc>
      </w:tr>
      <w:tr>
        <w:tc>
          <w:tcPr>
            <w:tcW w:type="dxa" w:w="5040"/>
          </w:tcPr>
          <w:p>
            <w:r>
              <w:t>5. Demonstration</w:t>
            </w:r>
          </w:p>
        </w:tc>
        <w:tc>
          <w:tcPr>
            <w:tcW w:type="dxa" w:w="5040"/>
          </w:tcPr>
          <w:p>
            <w:r>
              <w:t>Demonstrate the solution against agreed scenarios</w:t>
            </w:r>
          </w:p>
        </w:tc>
      </w:tr>
      <w:tr>
        <w:tc>
          <w:tcPr>
            <w:tcW w:type="dxa" w:w="5040"/>
          </w:tcPr>
          <w:p>
            <w:r>
              <w:t>6. Final report &amp; recommendations</w:t>
            </w:r>
          </w:p>
        </w:tc>
        <w:tc>
          <w:tcPr>
            <w:tcW w:type="dxa" w:w="5040"/>
          </w:tcPr>
          <w:p>
            <w:r>
              <w:t>Deliver documentation, findings and next-step recommendations</w:t>
            </w:r>
          </w:p>
        </w:tc>
      </w:tr>
    </w:tbl>
    <w:p>
      <w:r>
        <w:rPr>
          <w:b/>
          <w:sz w:val="23"/>
        </w:rPr>
        <w:t>1.5 Responsibilities</w:t>
      </w:r>
    </w:p>
    <w:p>
      <w:r>
        <w:t>Define the customer's responsibilities as well as Bhadale IT's responsibilities.</w:t>
      </w:r>
    </w:p>
    <w:tbl>
      <w:tblPr>
        <w:tblStyle w:val="TableGrid"/>
        <w:tblW w:type="auto" w:w="0"/>
        <w:tblLook w:firstColumn="1" w:firstRow="1" w:lastColumn="0" w:lastRow="0" w:noHBand="0" w:noVBand="1" w:val="04A0"/>
      </w:tblPr>
      <w:tblGrid>
        <w:gridCol w:w="5040"/>
        <w:gridCol w:w="5040"/>
      </w:tblGrid>
      <w:tr>
        <w:tc>
          <w:tcPr>
            <w:tcW w:type="dxa" w:w="5040"/>
          </w:tcPr>
          <w:p>
            <w:r>
              <w:t>Bhadale IT</w:t>
            </w:r>
          </w:p>
        </w:tc>
        <w:tc>
          <w:tcPr>
            <w:tcW w:type="dxa" w:w="5040"/>
          </w:tcPr>
          <w:p>
            <w:r>
              <w:t>Customer</w:t>
            </w:r>
          </w:p>
        </w:tc>
      </w:tr>
      <w:tr>
        <w:tc>
          <w:tcPr>
            <w:tcW w:type="dxa" w:w="5040"/>
          </w:tcPr>
          <w:p>
            <w:r>
              <w:t>Technical architecture</w:t>
            </w:r>
          </w:p>
        </w:tc>
        <w:tc>
          <w:tcPr>
            <w:tcW w:type="dxa" w:w="5040"/>
          </w:tcPr>
          <w:p>
            <w:r>
              <w:t>Provide requirements and objectives</w:t>
            </w:r>
          </w:p>
        </w:tc>
      </w:tr>
      <w:tr>
        <w:tc>
          <w:tcPr>
            <w:tcW w:type="dxa" w:w="5040"/>
          </w:tcPr>
          <w:p>
            <w:r>
              <w:t>PoC development</w:t>
            </w:r>
          </w:p>
        </w:tc>
        <w:tc>
          <w:tcPr>
            <w:tcW w:type="dxa" w:w="5040"/>
          </w:tcPr>
          <w:p>
            <w:r>
              <w:t>Provide required information / data</w:t>
            </w:r>
          </w:p>
        </w:tc>
      </w:tr>
      <w:tr>
        <w:tc>
          <w:tcPr>
            <w:tcW w:type="dxa" w:w="5040"/>
          </w:tcPr>
          <w:p>
            <w:r>
              <w:t>Simulation / emulation</w:t>
            </w:r>
          </w:p>
        </w:tc>
        <w:tc>
          <w:tcPr>
            <w:tcW w:type="dxa" w:w="5040"/>
          </w:tcPr>
          <w:p>
            <w:r>
              <w:t>Provide agreed system access where applicable</w:t>
            </w:r>
          </w:p>
        </w:tc>
      </w:tr>
      <w:tr>
        <w:tc>
          <w:tcPr>
            <w:tcW w:type="dxa" w:w="5040"/>
          </w:tcPr>
          <w:p>
            <w:r>
              <w:t>Testing and evaluation</w:t>
            </w:r>
          </w:p>
        </w:tc>
        <w:tc>
          <w:tcPr>
            <w:tcW w:type="dxa" w:w="5040"/>
          </w:tcPr>
          <w:p>
            <w:r>
              <w:t>Provide subject-matter experts</w:t>
            </w:r>
          </w:p>
        </w:tc>
      </w:tr>
      <w:tr>
        <w:tc>
          <w:tcPr>
            <w:tcW w:type="dxa" w:w="5040"/>
          </w:tcPr>
          <w:p>
            <w:r>
              <w:t>Documentation</w:t>
            </w:r>
          </w:p>
        </w:tc>
        <w:tc>
          <w:tcPr>
            <w:tcW w:type="dxa" w:w="5040"/>
          </w:tcPr>
          <w:p>
            <w:r>
              <w:t>Review and provide feedback / approvals</w:t>
            </w:r>
          </w:p>
        </w:tc>
      </w:tr>
      <w:tr>
        <w:tc>
          <w:tcPr>
            <w:tcW w:type="dxa" w:w="5040"/>
          </w:tcPr>
          <w:p>
            <w:r>
              <w:t>Demonstration</w:t>
            </w:r>
          </w:p>
        </w:tc>
        <w:tc>
          <w:tcPr>
            <w:tcW w:type="dxa" w:w="5040"/>
          </w:tcPr>
          <w:p>
            <w:r>
              <w:t>Attend agreed demonstrations and acceptance activities</w:t>
            </w:r>
          </w:p>
        </w:tc>
      </w:tr>
    </w:tbl>
    <w:p>
      <w:r>
        <w:rPr>
          <w:b/>
          <w:sz w:val="26"/>
        </w:rPr>
        <w:t>2. Pricing the Proposal</w:t>
      </w:r>
    </w:p>
    <w:p>
      <w:r>
        <w:t>Pricing should account for the full cost of delivering the engagement, not only the most visible direct delivery costs.</w:t>
      </w:r>
    </w:p>
    <w:p>
      <w:r>
        <w:rPr>
          <w:b/>
          <w:sz w:val="23"/>
        </w:rPr>
        <w:t>2.1 Count All Costs</w:t>
      </w:r>
    </w:p>
    <w:p>
      <w:pPr>
        <w:pStyle w:val="ListBullet"/>
      </w:pPr>
      <w:r>
        <w:t>Engineering / research time</w:t>
      </w:r>
    </w:p>
    <w:p>
      <w:pPr>
        <w:pStyle w:val="ListBullet"/>
      </w:pPr>
      <w:r>
        <w:t>Software development</w:t>
      </w:r>
    </w:p>
    <w:p>
      <w:pPr>
        <w:pStyle w:val="ListBullet"/>
      </w:pPr>
      <w:r>
        <w:t>Cloud computing</w:t>
      </w:r>
    </w:p>
    <w:p>
      <w:pPr>
        <w:pStyle w:val="ListBullet"/>
      </w:pPr>
      <w:r>
        <w:t>QPU / QAI resources where applicable</w:t>
      </w:r>
    </w:p>
    <w:p>
      <w:pPr>
        <w:pStyle w:val="ListBullet"/>
      </w:pPr>
      <w:r>
        <w:t>Data and storage</w:t>
      </w:r>
    </w:p>
    <w:p>
      <w:pPr>
        <w:pStyle w:val="ListBullet"/>
      </w:pPr>
      <w:r>
        <w:t>Software licences</w:t>
      </w:r>
    </w:p>
    <w:p>
      <w:pPr>
        <w:pStyle w:val="ListBullet"/>
      </w:pPr>
      <w:r>
        <w:t>Hardware</w:t>
      </w:r>
    </w:p>
    <w:p>
      <w:pPr>
        <w:pStyle w:val="ListBullet"/>
      </w:pPr>
      <w:r>
        <w:t>Subcontractors</w:t>
      </w:r>
    </w:p>
    <w:p>
      <w:pPr>
        <w:pStyle w:val="ListBullet"/>
      </w:pPr>
      <w:r>
        <w:t>Project management</w:t>
      </w:r>
    </w:p>
    <w:p>
      <w:pPr>
        <w:pStyle w:val="ListBullet"/>
      </w:pPr>
      <w:r>
        <w:t>Documentation</w:t>
      </w:r>
    </w:p>
    <w:p>
      <w:pPr>
        <w:pStyle w:val="ListBullet"/>
      </w:pPr>
      <w:r>
        <w:t>Meetings</w:t>
      </w:r>
    </w:p>
    <w:p>
      <w:pPr>
        <w:pStyle w:val="ListBullet"/>
      </w:pPr>
      <w:r>
        <w:t>Travel</w:t>
      </w:r>
    </w:p>
    <w:p>
      <w:pPr>
        <w:pStyle w:val="ListBullet"/>
      </w:pPr>
      <w:r>
        <w:t>Insurance</w:t>
      </w:r>
    </w:p>
    <w:p>
      <w:pPr>
        <w:pStyle w:val="ListBullet"/>
      </w:pPr>
      <w:r>
        <w:t>Accounting / administration</w:t>
      </w:r>
    </w:p>
    <w:p>
      <w:pPr>
        <w:pStyle w:val="ListBullet"/>
      </w:pPr>
      <w:r>
        <w:t>Security and compliance requirements</w:t>
      </w:r>
    </w:p>
    <w:p>
      <w:pPr>
        <w:pStyle w:val="ListBullet"/>
      </w:pPr>
      <w:r>
        <w:t>Contingency</w:t>
      </w:r>
    </w:p>
    <w:p>
      <w:pPr>
        <w:pStyle w:val="ListBullet"/>
      </w:pPr>
      <w:r>
        <w:t>Overheads</w:t>
      </w:r>
    </w:p>
    <w:p>
      <w:pPr>
        <w:pStyle w:val="ListBullet"/>
      </w:pPr>
      <w:r>
        <w:t>Profit / margin</w:t>
      </w:r>
    </w:p>
    <w:p>
      <w:r>
        <w:rPr>
          <w:b/>
          <w:sz w:val="23"/>
        </w:rPr>
        <w:t>2.2 Indemnities and Warranties</w:t>
      </w:r>
    </w:p>
    <w:p>
      <w:r>
        <w:t>Review what the contract requires Bhadale IT to indemnify and warrant. Distinguish technical commitments from legal guarantees and ensure that PoC results are described within defined assumptions and test conditions.</w:t>
      </w:r>
    </w:p>
    <w:p>
      <w:r>
        <w:rPr>
          <w:b/>
          <w:sz w:val="23"/>
        </w:rPr>
        <w:t>2.3 Liabilities</w:t>
      </w:r>
    </w:p>
    <w:p>
      <w:pPr>
        <w:pStyle w:val="ListBullet"/>
      </w:pPr>
      <w:r>
        <w:t>Liability cap</w:t>
      </w:r>
    </w:p>
    <w:p>
      <w:pPr>
        <w:pStyle w:val="ListBullet"/>
      </w:pPr>
      <w:r>
        <w:t>Consequential loss</w:t>
      </w:r>
    </w:p>
    <w:p>
      <w:pPr>
        <w:pStyle w:val="ListBullet"/>
      </w:pPr>
      <w:r>
        <w:t>Indemnities</w:t>
      </w:r>
    </w:p>
    <w:p>
      <w:pPr>
        <w:pStyle w:val="ListBullet"/>
      </w:pPr>
      <w:r>
        <w:t>Data and security liability</w:t>
      </w:r>
    </w:p>
    <w:p>
      <w:pPr>
        <w:pStyle w:val="ListBullet"/>
      </w:pPr>
      <w:r>
        <w:t>Third-party claims</w:t>
      </w:r>
    </w:p>
    <w:p>
      <w:pPr>
        <w:pStyle w:val="ListBullet"/>
      </w:pPr>
      <w:r>
        <w:t>IP infringement</w:t>
      </w:r>
    </w:p>
    <w:p>
      <w:pPr>
        <w:pStyle w:val="ListBullet"/>
      </w:pPr>
      <w:r>
        <w:t>Professional liability</w:t>
      </w:r>
    </w:p>
    <w:p>
      <w:pPr>
        <w:pStyle w:val="ListBullet"/>
      </w:pPr>
      <w:r>
        <w:t>Insurance requirements</w:t>
      </w:r>
    </w:p>
    <w:p>
      <w:pPr>
        <w:pStyle w:val="ListBullet"/>
      </w:pPr>
      <w:r>
        <w:t>Customer-caused delays or failures</w:t>
      </w:r>
    </w:p>
    <w:p>
      <w:r>
        <w:t>Contractual risk can affect the commercial price and should be reviewed before finalising the proposal.</w:t>
      </w:r>
    </w:p>
    <w:p>
      <w:r>
        <w:rPr>
          <w:b/>
          <w:sz w:val="23"/>
        </w:rPr>
        <w:t>2.4 Intellectual Property</w:t>
      </w:r>
    </w:p>
    <w:p>
      <w:r>
        <w:t>For Bhadale IT, explicitly distinguish pre-existing/background IP, customer-specific deliverables and any new/foreground IP.</w:t>
      </w:r>
    </w:p>
    <w:tbl>
      <w:tblPr>
        <w:tblStyle w:val="TableGrid"/>
        <w:tblW w:type="auto" w:w="0"/>
        <w:tblLook w:firstColumn="1" w:firstRow="1" w:lastColumn="0" w:lastRow="0" w:noHBand="0" w:noVBand="1" w:val="04A0"/>
      </w:tblPr>
      <w:tblGrid>
        <w:gridCol w:w="5040"/>
        <w:gridCol w:w="5040"/>
      </w:tblGrid>
      <w:tr>
        <w:tc>
          <w:tcPr>
            <w:tcW w:type="dxa" w:w="5040"/>
          </w:tcPr>
          <w:p>
            <w:r>
              <w:t>IP category</w:t>
            </w:r>
          </w:p>
        </w:tc>
        <w:tc>
          <w:tcPr>
            <w:tcW w:type="dxa" w:w="5040"/>
          </w:tcPr>
          <w:p>
            <w:r>
              <w:t>Working definition</w:t>
            </w:r>
          </w:p>
        </w:tc>
      </w:tr>
      <w:tr>
        <w:tc>
          <w:tcPr>
            <w:tcW w:type="dxa" w:w="5040"/>
          </w:tcPr>
          <w:p>
            <w:r>
              <w:t>Background IP</w:t>
            </w:r>
          </w:p>
        </w:tc>
        <w:tc>
          <w:tcPr>
            <w:tcW w:type="dxa" w:w="5040"/>
          </w:tcPr>
          <w:p>
            <w:r>
              <w:t>QAI frameworks, methodologies, software, models, architectures, know-how and other IP existing before the engagement.</w:t>
            </w:r>
          </w:p>
        </w:tc>
      </w:tr>
      <w:tr>
        <w:tc>
          <w:tcPr>
            <w:tcW w:type="dxa" w:w="5040"/>
          </w:tcPr>
          <w:p>
            <w:r>
              <w:t>Project deliverables</w:t>
            </w:r>
          </w:p>
        </w:tc>
        <w:tc>
          <w:tcPr>
            <w:tcW w:type="dxa" w:w="5040"/>
          </w:tcPr>
          <w:p>
            <w:r>
              <w:t>Specific artefacts created for the customer under the agreed engagement.</w:t>
            </w:r>
          </w:p>
        </w:tc>
      </w:tr>
      <w:tr>
        <w:tc>
          <w:tcPr>
            <w:tcW w:type="dxa" w:w="5040"/>
          </w:tcPr>
          <w:p>
            <w:r>
              <w:t>New / foreground IP</w:t>
            </w:r>
          </w:p>
        </w:tc>
        <w:tc>
          <w:tcPr>
            <w:tcW w:type="dxa" w:w="5040"/>
          </w:tcPr>
          <w:p>
            <w:r>
              <w:t>New inventions, improvements or developments created during the project; ownership and licensing should be expressly agreed.</w:t>
            </w:r>
          </w:p>
        </w:tc>
      </w:tr>
    </w:tbl>
    <w:p>
      <w:r>
        <w:t>Do not accidentally transfer ownership of Bhadale IT's broader QAI platform or pre-existing IP through a small PoC contract. The proposal and contract should define the intended IP arrangement.</w:t>
      </w:r>
    </w:p>
    <w:p>
      <w:r>
        <w:rPr>
          <w:b/>
          <w:sz w:val="23"/>
        </w:rPr>
        <w:t>2.5 Government Approvals and Licences</w:t>
      </w:r>
    </w:p>
    <w:p>
      <w:pPr>
        <w:pStyle w:val="ListBullet"/>
      </w:pPr>
      <w:r>
        <w:t>Australian licences</w:t>
      </w:r>
    </w:p>
    <w:p>
      <w:pPr>
        <w:pStyle w:val="ListBullet"/>
      </w:pPr>
      <w:r>
        <w:t>Security clearances</w:t>
      </w:r>
    </w:p>
    <w:p>
      <w:pPr>
        <w:pStyle w:val="ListBullet"/>
      </w:pPr>
      <w:r>
        <w:t>Industry certifications</w:t>
      </w:r>
    </w:p>
    <w:p>
      <w:pPr>
        <w:pStyle w:val="ListBullet"/>
      </w:pPr>
      <w:r>
        <w:t>Cloud/vendor licences</w:t>
      </w:r>
    </w:p>
    <w:p>
      <w:pPr>
        <w:pStyle w:val="ListBullet"/>
      </w:pPr>
      <w:r>
        <w:t>Data permissions</w:t>
      </w:r>
    </w:p>
    <w:p>
      <w:pPr>
        <w:pStyle w:val="ListBullet"/>
      </w:pPr>
      <w:r>
        <w:t>Regulatory approvals</w:t>
      </w:r>
    </w:p>
    <w:p>
      <w:pPr>
        <w:pStyle w:val="ListBullet"/>
      </w:pPr>
      <w:r>
        <w:t>Site access</w:t>
      </w:r>
    </w:p>
    <w:p>
      <w:pPr>
        <w:pStyle w:val="ListBullet"/>
      </w:pPr>
      <w:r>
        <w:t>Export/import permissions</w:t>
      </w:r>
    </w:p>
    <w:p>
      <w:pPr>
        <w:pStyle w:val="ListBullet"/>
      </w:pPr>
      <w:r>
        <w:t>Other statutory requirements</w:t>
      </w:r>
    </w:p>
    <w:p>
      <w:r>
        <w:rPr>
          <w:b/>
          <w:sz w:val="23"/>
        </w:rPr>
        <w:t>2.6 Renewing or Ending the Relationship</w:t>
      </w:r>
    </w:p>
    <w:p>
      <w:pPr>
        <w:pStyle w:val="ListBullet"/>
      </w:pPr>
      <w:r>
        <w:t>Initial contract period</w:t>
      </w:r>
    </w:p>
    <w:p>
      <w:pPr>
        <w:pStyle w:val="ListBullet"/>
      </w:pPr>
      <w:r>
        <w:t>Renewal options</w:t>
      </w:r>
    </w:p>
    <w:p>
      <w:pPr>
        <w:pStyle w:val="ListBullet"/>
      </w:pPr>
      <w:r>
        <w:t>Extension pricing</w:t>
      </w:r>
    </w:p>
    <w:p>
      <w:pPr>
        <w:pStyle w:val="ListBullet"/>
      </w:pPr>
      <w:r>
        <w:t>Notice periods</w:t>
      </w:r>
    </w:p>
    <w:p>
      <w:pPr>
        <w:pStyle w:val="ListBullet"/>
      </w:pPr>
      <w:r>
        <w:t>Early termination</w:t>
      </w:r>
    </w:p>
    <w:p>
      <w:pPr>
        <w:pStyle w:val="ListBullet"/>
      </w:pPr>
      <w:r>
        <w:t>Payment for completed work</w:t>
      </w:r>
    </w:p>
    <w:p>
      <w:pPr>
        <w:pStyle w:val="ListBullet"/>
      </w:pPr>
      <w:r>
        <w:t>Treatment of partially completed deliverables</w:t>
      </w:r>
    </w:p>
    <w:p>
      <w:pPr>
        <w:pStyle w:val="ListBullet"/>
      </w:pPr>
      <w:r>
        <w:t>IP upon termination</w:t>
      </w:r>
    </w:p>
    <w:p>
      <w:pPr>
        <w:pStyle w:val="ListBullet"/>
      </w:pPr>
      <w:r>
        <w:t>Data return / deletion</w:t>
      </w:r>
    </w:p>
    <w:p>
      <w:pPr>
        <w:pStyle w:val="ListBullet"/>
      </w:pPr>
      <w:r>
        <w:t>Transition / handover requirements</w:t>
      </w:r>
    </w:p>
    <w:p>
      <w:r>
        <w:rPr>
          <w:b/>
          <w:sz w:val="26"/>
        </w:rPr>
        <w:t>3. Integrated Bhadale IT Procurement Workflow</w:t>
      </w:r>
    </w:p>
    <w:p>
      <w:pPr>
        <w:pStyle w:val="ListBullet"/>
      </w:pPr>
      <w:r>
        <w:t>1. Observe — find relevant opportunities.</w:t>
      </w:r>
    </w:p>
    <w:p>
      <w:pPr>
        <w:pStyle w:val="ListBullet"/>
      </w:pPr>
      <w:r>
        <w:t>2. Potential Fit — determine whether the opportunity relates to Bhadale IT / QAI capabilities.</w:t>
      </w:r>
    </w:p>
    <w:p>
      <w:pPr>
        <w:pStyle w:val="ListBullet"/>
      </w:pPr>
      <w:r>
        <w:t>3. Eligibility Check — confirm legal, geographic, supplier and tender-specific eligibility.</w:t>
      </w:r>
    </w:p>
    <w:p>
      <w:pPr>
        <w:pStyle w:val="ListBullet"/>
      </w:pPr>
      <w:r>
        <w:t>4. Bid / No-Bid — apply the 12-question checklist.</w:t>
      </w:r>
    </w:p>
    <w:p>
      <w:pPr>
        <w:pStyle w:val="ListBullet"/>
      </w:pPr>
      <w:r>
        <w:t>5. Proposal — Introduction → Background → Deliverables → Timeline → Responsibilities.</w:t>
      </w:r>
    </w:p>
    <w:p>
      <w:pPr>
        <w:pStyle w:val="ListBullet"/>
      </w:pPr>
      <w:r>
        <w:t>6. Pricing &amp; Commercial Review — costs → margin → liability → IP → licences → renewal / termination.</w:t>
      </w:r>
    </w:p>
    <w:p>
      <w:pPr>
        <w:pStyle w:val="ListBullet"/>
      </w:pPr>
      <w:r>
        <w:t>7. Final Compliance Check — confirm every mandatory requirement and attachment.</w:t>
      </w:r>
    </w:p>
    <w:p>
      <w:pPr>
        <w:pStyle w:val="ListBullet"/>
      </w:pPr>
      <w:r>
        <w:t>8. Submit — submit through the required procurement channel before the deadline.</w:t>
      </w:r>
    </w:p>
    <w:p>
      <w:r>
        <w:rPr>
          <w:b/>
          <w:sz w:val="26"/>
        </w:rPr>
        <w:t>4. Practical Proposal Principles</w:t>
      </w:r>
    </w:p>
    <w:p>
      <w:pPr>
        <w:pStyle w:val="ListBullet"/>
      </w:pPr>
      <w:r>
        <w:t>Make the proposal easy for the customer to evaluate against its stated requirements.</w:t>
      </w:r>
    </w:p>
    <w:p>
      <w:pPr>
        <w:pStyle w:val="ListBullet"/>
      </w:pPr>
      <w:r>
        <w:t>Keep initial proposals appropriately small and technically precise where the opportunity is a study or PoC.</w:t>
      </w:r>
    </w:p>
    <w:p>
      <w:pPr>
        <w:pStyle w:val="ListBullet"/>
      </w:pPr>
      <w:r>
        <w:t>Make scope, assumptions, responsibilities, risks, price and IP boundaries clear.</w:t>
      </w:r>
    </w:p>
    <w:p>
      <w:pPr>
        <w:pStyle w:val="ListBullet"/>
      </w:pPr>
      <w:r>
        <w:t>Do not overstate capabilities, completed work, customers or Australian presence.</w:t>
      </w:r>
    </w:p>
    <w:p>
      <w:pPr>
        <w:pStyle w:val="ListBullet"/>
      </w:pPr>
      <w:r>
        <w:t>Use evidence-based claims and distinguish commercial delivery from internal R&amp;D and prototypes.</w:t>
      </w:r>
    </w:p>
    <w:p>
      <w:pPr>
        <w:pStyle w:val="ListBullet"/>
      </w:pPr>
      <w:r>
        <w:t>Price the whole engagement, including indirect costs and contractual risk.</w:t>
      </w:r>
    </w:p>
    <w:p>
      <w:pPr>
        <w:pStyle w:val="ListBullet"/>
      </w:pPr>
      <w:r>
        <w:t>Treat IP as a deliberate commercial term rather than an automatic transfer.</w:t>
      </w:r>
    </w:p>
    <w:p>
      <w:pPr>
        <w:pStyle w:val="ListBullet"/>
      </w:pPr>
      <w:r>
        <w:t>Check eligibility and contractual requirements before investing significant proposal effort.</w:t>
      </w:r>
    </w:p>
    <w:p>
      <w:pPr>
        <w:jc w:val="center"/>
      </w:pPr>
      <w:r>
        <w:rPr>
          <w:i/>
          <w:sz w:val="18"/>
        </w:rPr>
        <w:t>Reference draft — adapt to the requirements of each individual opportunity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