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BHADALE IT</w:t>
      </w:r>
    </w:p>
    <w:p>
      <w:pPr>
        <w:jc w:val="center"/>
      </w:pPr>
      <w:r>
        <w:rPr>
          <w:b/>
          <w:sz w:val="56"/>
        </w:rPr>
        <w:t>SAMPLE PROPOSAL</w:t>
      </w:r>
    </w:p>
    <w:p>
      <w:pPr>
        <w:jc w:val="center"/>
      </w:pPr>
      <w:r>
        <w:rPr>
          <w:b/>
          <w:sz w:val="38"/>
        </w:rPr>
        <w:t>AI &amp; Digital Twin Feasibility Assessment</w:t>
      </w:r>
    </w:p>
    <w:p>
      <w:pPr>
        <w:jc w:val="center"/>
      </w:pPr>
      <w:r>
        <w:rPr>
          <w:i/>
        </w:rPr>
        <w:t>Illustrative NSW Government-style professional services engagement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Proposal Item</w:t>
            </w:r>
          </w:p>
        </w:tc>
        <w:tc>
          <w:tcPr>
            <w:tcW w:type="dxa" w:w="5040"/>
            <w:shd w:fill="D9EAF7"/>
          </w:tcPr>
          <w:p>
            <w:r>
              <w:rPr>
                <w:b/>
              </w:rPr>
              <w:t>Sample Detail</w:t>
            </w:r>
          </w:p>
        </w:tc>
      </w:tr>
      <w:tr>
        <w:tc>
          <w:tcPr>
            <w:tcW w:type="dxa" w:w="5040"/>
          </w:tcPr>
          <w:p>
            <w:r>
              <w:t>Proponent</w:t>
            </w:r>
          </w:p>
        </w:tc>
        <w:tc>
          <w:tcPr>
            <w:tcW w:type="dxa" w:w="5040"/>
          </w:tcPr>
          <w:p>
            <w:r>
              <w:t>Bhadale IT</w:t>
            </w:r>
          </w:p>
        </w:tc>
      </w:tr>
      <w:tr>
        <w:tc>
          <w:tcPr>
            <w:tcW w:type="dxa" w:w="5040"/>
          </w:tcPr>
          <w:p>
            <w:r>
              <w:t>Proposed Customer</w:t>
            </w:r>
          </w:p>
        </w:tc>
        <w:tc>
          <w:tcPr>
            <w:tcW w:type="dxa" w:w="5040"/>
          </w:tcPr>
          <w:p>
            <w:r>
              <w:t>NSW Government Agency – Fictional Sample Customer</w:t>
            </w:r>
          </w:p>
        </w:tc>
      </w:tr>
      <w:tr>
        <w:tc>
          <w:tcPr>
            <w:tcW w:type="dxa" w:w="5040"/>
          </w:tcPr>
          <w:p>
            <w:r>
              <w:t>Engagement</w:t>
            </w:r>
          </w:p>
        </w:tc>
        <w:tc>
          <w:tcPr>
            <w:tcW w:type="dxa" w:w="5040"/>
          </w:tcPr>
          <w:p>
            <w:r>
              <w:t>AI &amp; Digital Twin Feasibility Assessment</w:t>
            </w:r>
          </w:p>
        </w:tc>
      </w:tr>
      <w:tr>
        <w:tc>
          <w:tcPr>
            <w:tcW w:type="dxa" w:w="5040"/>
          </w:tcPr>
          <w:p>
            <w:r>
              <w:t>Indicative Duration</w:t>
            </w:r>
          </w:p>
        </w:tc>
        <w:tc>
          <w:tcPr>
            <w:tcW w:type="dxa" w:w="5040"/>
          </w:tcPr>
          <w:p>
            <w:r>
              <w:t>6 weeks</w:t>
            </w:r>
          </w:p>
        </w:tc>
      </w:tr>
      <w:tr>
        <w:tc>
          <w:tcPr>
            <w:tcW w:type="dxa" w:w="5040"/>
          </w:tcPr>
          <w:p>
            <w:r>
              <w:t>Indicative Professional Fee</w:t>
            </w:r>
          </w:p>
        </w:tc>
        <w:tc>
          <w:tcPr>
            <w:tcW w:type="dxa" w:w="5040"/>
          </w:tcPr>
          <w:p>
            <w:r>
              <w:t>AUD 24,800 – illustrative only; tax treatment to be confirmed</w:t>
            </w:r>
          </w:p>
        </w:tc>
      </w:tr>
      <w:tr>
        <w:tc>
          <w:tcPr>
            <w:tcW w:type="dxa" w:w="5040"/>
          </w:tcPr>
          <w:p>
            <w:r>
              <w:t>Status</w:t>
            </w:r>
          </w:p>
        </w:tc>
        <w:tc>
          <w:tcPr>
            <w:tcW w:type="dxa" w:w="5040"/>
          </w:tcPr>
          <w:p>
            <w:r>
              <w:t>SAMPLE / FOR DEMONSTRATION ONLY</w:t>
            </w:r>
          </w:p>
        </w:tc>
      </w:tr>
      <w:tr>
        <w:tc>
          <w:tcPr>
            <w:tcW w:type="dxa" w:w="5040"/>
          </w:tcPr>
          <w:p>
            <w:r>
              <w:t>Prepared</w:t>
            </w:r>
          </w:p>
        </w:tc>
        <w:tc>
          <w:tcPr>
            <w:tcW w:type="dxa" w:w="5040"/>
          </w:tcPr>
          <w:p>
            <w:r>
              <w:t>26 September 2026</w:t>
            </w:r>
          </w:p>
        </w:tc>
      </w:tr>
    </w:tbl>
    <w:p/>
    <w:p>
      <w:pPr>
        <w:jc w:val="center"/>
      </w:pPr>
      <w:r>
        <w:rPr>
          <w:b/>
          <w:sz w:val="18"/>
        </w:rPr>
        <w:t>This document is a training and supplier-readiness example. It does not represent a real NSW Government engagement, award, customer reference, or completed government project.</w:t>
      </w:r>
    </w:p>
    <w:p>
      <w:r>
        <w:br w:type="page"/>
      </w:r>
    </w:p>
    <w:p>
      <w:pPr>
        <w:pStyle w:val="Heading1"/>
      </w:pPr>
      <w:r>
        <w:t>1. Introduction</w:t>
      </w:r>
    </w:p>
    <w:p>
      <w:r>
        <w:t>Thank you for the opportunity to consider Bhadale IT for an AI and Digital Twin Feasibility Assessment. Bhadale IT proposes a structured, evidence-based six-week assessment to establish the business, technical, data, security and implementation foundations required for a future AI-enabled digital-twin capability.</w:t>
      </w:r>
    </w:p>
    <w:p>
      <w:r>
        <w:t>The proposed engagement is deliberately scoped as a feasibility and architecture assessment rather than a large technology implementation. It is intended to help the customer understand current baseline conditions, priority use cases, target architecture, risks, value opportunities and a practical pathway to a pilot.</w:t>
      </w:r>
    </w:p>
    <w:p>
      <w:r>
        <w:t>Bhadale IT is willing to refine the scope, deliverables, timing and commercial structure following clarification of the customer's requirements, available information and procurement conditions.</w:t>
      </w:r>
    </w:p>
    <w:p>
      <w:pPr>
        <w:pStyle w:val="Heading1"/>
      </w:pPr>
      <w:r>
        <w:t>2. Executive Summary</w:t>
      </w:r>
    </w:p>
    <w:p>
      <w:r>
        <w:t>Bhadale IT provides capabilities across artificial intelligence, quantum AI research and development, cloud computing, data and analytics, cybersecurity, software engineering, digital twins and systems engineering. The proposed approach combines these capabilities into a practical feasibility workflow.</w:t>
      </w:r>
    </w:p>
    <w:p>
      <w:pPr>
        <w:pStyle w:val="Heading1"/>
      </w:pPr>
      <w:r>
        <w:t>3. About Bhadale IT</w:t>
      </w:r>
    </w:p>
    <w:p>
      <w:r>
        <w:t>Bhadale IT is a family technology business based in Belagavi, Karnataka, India. Its capability base spans AI, quantum AI, cloud computing, data and analytics, cybersecurity, software engineering, systems engineering, digital twins, solution architecture and technical consulting.</w:t>
      </w:r>
    </w:p>
    <w:p>
      <w:r>
        <w:t>Bhadale IT develops research platforms, proof-of-concepts, software frameworks and technical models using hybrid classical and quantum-classical approaches, with emphasis on security, governance, interoperability, scalability and responsible technology adoption.</w:t>
      </w:r>
    </w:p>
    <w:p>
      <w:r>
        <w:t>For this sample, Bhadale IT's current international supplier status is not presented as Australian incorporation or Australian tax registration. Any real procurement would be subject to the relevant eligibility, supplier registration, contracting, tax, insurance and other requirements.</w:t>
      </w:r>
    </w:p>
    <w:p>
      <w:pPr>
        <w:pStyle w:val="Heading1"/>
      </w:pPr>
      <w:r>
        <w:t>4. Relevant Capabilities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Capability Area</w:t>
            </w:r>
          </w:p>
        </w:tc>
        <w:tc>
          <w:tcPr>
            <w:tcW w:type="dxa" w:w="5040"/>
            <w:shd w:fill="D9EAF7"/>
          </w:tcPr>
          <w:p>
            <w:r>
              <w:rPr>
                <w:b/>
              </w:rPr>
              <w:t>Relevant Capability</w:t>
            </w:r>
          </w:p>
        </w:tc>
      </w:tr>
      <w:tr>
        <w:tc>
          <w:tcPr>
            <w:tcW w:type="dxa" w:w="5040"/>
          </w:tcPr>
          <w:p>
            <w:r>
              <w:t>AI &amp; Agentic AI</w:t>
            </w:r>
          </w:p>
        </w:tc>
        <w:tc>
          <w:tcPr>
            <w:tcW w:type="dxa" w:w="5040"/>
          </w:tcPr>
          <w:p>
            <w:r>
              <w:t>AI solution design, agent frameworks, decision-support concepts and AI lifecycle/workload management.</w:t>
            </w:r>
          </w:p>
        </w:tc>
      </w:tr>
      <w:tr>
        <w:tc>
          <w:tcPr>
            <w:tcW w:type="dxa" w:w="5040"/>
          </w:tcPr>
          <w:p>
            <w:r>
              <w:t>Quantum AI / Hybrid Computing</w:t>
            </w:r>
          </w:p>
        </w:tc>
        <w:tc>
          <w:tcPr>
            <w:tcW w:type="dxa" w:w="5040"/>
          </w:tcPr>
          <w:p>
            <w:r>
              <w:t>QAI research, hybrid quantum-classical architecture, virtual assets, quantum-advantage assessment and classical fallback concepts.</w:t>
            </w:r>
          </w:p>
        </w:tc>
      </w:tr>
      <w:tr>
        <w:tc>
          <w:tcPr>
            <w:tcW w:type="dxa" w:w="5040"/>
          </w:tcPr>
          <w:p>
            <w:r>
              <w:t>Cloud &amp; Data</w:t>
            </w:r>
          </w:p>
        </w:tc>
        <w:tc>
          <w:tcPr>
            <w:tcW w:type="dxa" w:w="5040"/>
          </w:tcPr>
          <w:p>
            <w:r>
              <w:t>Cloud architecture, data platforms, analytics, application services, hybrid infrastructure and deployment concepts.</w:t>
            </w:r>
          </w:p>
        </w:tc>
      </w:tr>
      <w:tr>
        <w:tc>
          <w:tcPr>
            <w:tcW w:type="dxa" w:w="5040"/>
          </w:tcPr>
          <w:p>
            <w:r>
              <w:t>Digital Twins</w:t>
            </w:r>
          </w:p>
        </w:tc>
        <w:tc>
          <w:tcPr>
            <w:tcW w:type="dxa" w:w="5040"/>
          </w:tcPr>
          <w:p>
            <w:r>
              <w:t>Digital-twin modelling, asset/workflow representation, simulation/emulation and lifecycle decision support.</w:t>
            </w:r>
          </w:p>
        </w:tc>
      </w:tr>
      <w:tr>
        <w:tc>
          <w:tcPr>
            <w:tcW w:type="dxa" w:w="5040"/>
          </w:tcPr>
          <w:p>
            <w:r>
              <w:t>Cybersecurity &amp; PQC</w:t>
            </w:r>
          </w:p>
        </w:tc>
        <w:tc>
          <w:tcPr>
            <w:tcW w:type="dxa" w:w="5040"/>
          </w:tcPr>
          <w:p>
            <w:r>
              <w:t>Cybersecurity architecture, assurance concepts, post-quantum cryptography assessment and risk-oriented analysis.</w:t>
            </w:r>
          </w:p>
        </w:tc>
      </w:tr>
      <w:tr>
        <w:tc>
          <w:tcPr>
            <w:tcW w:type="dxa" w:w="5040"/>
          </w:tcPr>
          <w:p>
            <w:r>
              <w:t>Software &amp; Systems Engineering</w:t>
            </w:r>
          </w:p>
        </w:tc>
        <w:tc>
          <w:tcPr>
            <w:tcW w:type="dxa" w:w="5040"/>
          </w:tcPr>
          <w:p>
            <w:r>
              <w:t>Solution architecture, software development, systems engineering, lifecycle modelling, interoperability and technical consulting.</w:t>
            </w:r>
          </w:p>
        </w:tc>
      </w:tr>
      <w:tr>
        <w:tc>
          <w:tcPr>
            <w:tcW w:type="dxa" w:w="5040"/>
          </w:tcPr>
          <w:p>
            <w:r>
              <w:t>Governance &amp; Assurance</w:t>
            </w:r>
          </w:p>
        </w:tc>
        <w:tc>
          <w:tcPr>
            <w:tcW w:type="dxa" w:w="5040"/>
          </w:tcPr>
          <w:p>
            <w:r>
              <w:t>Security, compliance, data governance, responsible AI, assurance, acceptance criteria and operational risk management.</w:t>
            </w:r>
          </w:p>
        </w:tc>
      </w:tr>
    </w:tbl>
    <w:p/>
    <w:p>
      <w:pPr>
        <w:pStyle w:val="Heading1"/>
      </w:pPr>
      <w:r>
        <w:t>5. Understanding of the Requirement</w:t>
      </w:r>
    </w:p>
    <w:p>
      <w:r>
        <w:t>For this fictional scenario, the customer is seeking an independent feasibility assessment before committing to a larger digital-twin or AI implementation. The customer wants a practical understanding of where AI can create value, what data and systems are required, how workloads should be managed, and how the initiative can be piloted with controlled risk.</w:t>
      </w:r>
    </w:p>
    <w:p>
      <w:pPr>
        <w:pStyle w:val="ListNumber"/>
      </w:pPr>
      <w:r>
        <w:t>A validated baseline of business processes, assets, data and existing technology.</w:t>
      </w:r>
    </w:p>
    <w:p>
      <w:pPr>
        <w:pStyle w:val="ListNumber"/>
      </w:pPr>
      <w:r>
        <w:t>A prioritised set of feasible AI/digital-twin use cases.</w:t>
      </w:r>
    </w:p>
    <w:p>
      <w:pPr>
        <w:pStyle w:val="ListNumber"/>
      </w:pPr>
      <w:r>
        <w:t>A logical target architecture and integration model.</w:t>
      </w:r>
    </w:p>
    <w:p>
      <w:pPr>
        <w:pStyle w:val="ListNumber"/>
      </w:pPr>
      <w:r>
        <w:t>A measurable pilot design with acceptance criteria and implementation assumptions.</w:t>
      </w:r>
    </w:p>
    <w:p>
      <w:pPr>
        <w:pStyle w:val="ListNumber"/>
      </w:pPr>
      <w:r>
        <w:t>A decision-ready final report and roadmap.</w:t>
      </w:r>
    </w:p>
    <w:p>
      <w:pPr>
        <w:pStyle w:val="Heading1"/>
      </w:pPr>
      <w:r>
        <w:t>6. Proposed Scope and Deliverables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Work Package</w:t>
            </w:r>
          </w:p>
        </w:tc>
        <w:tc>
          <w:tcPr>
            <w:tcW w:type="dxa" w:w="3360"/>
            <w:shd w:fill="D9EAF7"/>
          </w:tcPr>
          <w:p>
            <w:r>
              <w:rPr>
                <w:b/>
              </w:rPr>
              <w:t>Activities</w:t>
            </w:r>
          </w:p>
        </w:tc>
        <w:tc>
          <w:tcPr>
            <w:tcW w:type="dxa" w:w="3360"/>
            <w:shd w:fill="D9EAF7"/>
          </w:tcPr>
          <w:p>
            <w:r>
              <w:rPr>
                <w:b/>
              </w:rPr>
              <w:t>Primary Deliverable</w:t>
            </w:r>
          </w:p>
        </w:tc>
      </w:tr>
      <w:tr>
        <w:tc>
          <w:tcPr>
            <w:tcW w:type="dxa" w:w="3360"/>
          </w:tcPr>
          <w:p>
            <w:r>
              <w:t>WP1 – Discovery &amp; Baseline</w:t>
            </w:r>
          </w:p>
        </w:tc>
        <w:tc>
          <w:tcPr>
            <w:tcW w:type="dxa" w:w="3360"/>
          </w:tcPr>
          <w:p>
            <w:r>
              <w:t>Stakeholder discussions, document review, process/asset/data inventory and current-state assessment.</w:t>
            </w:r>
          </w:p>
        </w:tc>
        <w:tc>
          <w:tcPr>
            <w:tcW w:type="dxa" w:w="3360"/>
          </w:tcPr>
          <w:p>
            <w:r>
              <w:t>Current-State &amp; Evidence Baseline</w:t>
            </w:r>
          </w:p>
        </w:tc>
      </w:tr>
      <w:tr>
        <w:tc>
          <w:tcPr>
            <w:tcW w:type="dxa" w:w="3360"/>
          </w:tcPr>
          <w:p>
            <w:r>
              <w:t>WP2 – Use Case Assessment</w:t>
            </w:r>
          </w:p>
        </w:tc>
        <w:tc>
          <w:tcPr>
            <w:tcW w:type="dxa" w:w="3360"/>
          </w:tcPr>
          <w:p>
            <w:r>
              <w:t>Identify candidate use cases; assess value, feasibility, data readiness, risk and dependencies.</w:t>
            </w:r>
          </w:p>
        </w:tc>
        <w:tc>
          <w:tcPr>
            <w:tcW w:type="dxa" w:w="3360"/>
          </w:tcPr>
          <w:p>
            <w:r>
              <w:t>Use Case Catalogue &amp; Prioritisation Matrix</w:t>
            </w:r>
          </w:p>
        </w:tc>
      </w:tr>
      <w:tr>
        <w:tc>
          <w:tcPr>
            <w:tcW w:type="dxa" w:w="3360"/>
          </w:tcPr>
          <w:p>
            <w:r>
              <w:t>WP3 – Architecture</w:t>
            </w:r>
          </w:p>
        </w:tc>
        <w:tc>
          <w:tcPr>
            <w:tcW w:type="dxa" w:w="3360"/>
          </w:tcPr>
          <w:p>
            <w:r>
              <w:t>Define logical AI, data, digital-twin, integration, security and governance architecture.</w:t>
            </w:r>
          </w:p>
        </w:tc>
        <w:tc>
          <w:tcPr>
            <w:tcW w:type="dxa" w:w="3360"/>
          </w:tcPr>
          <w:p>
            <w:r>
              <w:t>Target Logical Architecture</w:t>
            </w:r>
          </w:p>
        </w:tc>
      </w:tr>
      <w:tr>
        <w:tc>
          <w:tcPr>
            <w:tcW w:type="dxa" w:w="3360"/>
          </w:tcPr>
          <w:p>
            <w:r>
              <w:t>WP4 – Feasibility / PoC Design</w:t>
            </w:r>
          </w:p>
        </w:tc>
        <w:tc>
          <w:tcPr>
            <w:tcW w:type="dxa" w:w="3360"/>
          </w:tcPr>
          <w:p>
            <w:r>
              <w:t>Define synthetic/approved-data PoC, workflows, interfaces, evaluation method and classical baseline.</w:t>
            </w:r>
          </w:p>
        </w:tc>
        <w:tc>
          <w:tcPr>
            <w:tcW w:type="dxa" w:w="3360"/>
          </w:tcPr>
          <w:p>
            <w:r>
              <w:t>PoC Design &amp; Evaluation Plan</w:t>
            </w:r>
          </w:p>
        </w:tc>
      </w:tr>
      <w:tr>
        <w:tc>
          <w:tcPr>
            <w:tcW w:type="dxa" w:w="3360"/>
          </w:tcPr>
          <w:p>
            <w:r>
              <w:t>WP5 – Value &amp; Risk</w:t>
            </w:r>
          </w:p>
        </w:tc>
        <w:tc>
          <w:tcPr>
            <w:tcW w:type="dxa" w:w="3360"/>
          </w:tcPr>
          <w:p>
            <w:r>
              <w:t>Define KPIs, acceptance criteria, risks, assumptions, resources and indicative economics.</w:t>
            </w:r>
          </w:p>
        </w:tc>
        <w:tc>
          <w:tcPr>
            <w:tcW w:type="dxa" w:w="3360"/>
          </w:tcPr>
          <w:p>
            <w:r>
              <w:t>Value, Risk &amp; Assurance Assessment</w:t>
            </w:r>
          </w:p>
        </w:tc>
      </w:tr>
      <w:tr>
        <w:tc>
          <w:tcPr>
            <w:tcW w:type="dxa" w:w="3360"/>
          </w:tcPr>
          <w:p>
            <w:r>
              <w:t>WP6 – Final Recommendation</w:t>
            </w:r>
          </w:p>
        </w:tc>
        <w:tc>
          <w:tcPr>
            <w:tcW w:type="dxa" w:w="3360"/>
          </w:tcPr>
          <w:p>
            <w:r>
              <w:t>Consolidate findings, implementation options and phased roadmap.</w:t>
            </w:r>
          </w:p>
        </w:tc>
        <w:tc>
          <w:tcPr>
            <w:tcW w:type="dxa" w:w="3360"/>
          </w:tcPr>
          <w:p>
            <w:r>
              <w:t>Final Feasibility Report &amp; Pilot Roadmap</w:t>
            </w:r>
          </w:p>
        </w:tc>
      </w:tr>
    </w:tbl>
    <w:p/>
    <w:p>
      <w:pPr>
        <w:pStyle w:val="Heading1"/>
      </w:pPr>
      <w:r>
        <w:t>7. Proposed Methodology</w:t>
      </w:r>
    </w:p>
    <w:p>
      <w:r>
        <w:t>Bhadale IT will use a structured workflow separating discovery, modelling, experimentation, evaluation and decision support.</w:t>
      </w:r>
    </w:p>
    <w:p>
      <w:pPr>
        <w:pStyle w:val="ListNumber"/>
      </w:pPr>
      <w:r>
        <w:t>Discover – collect requirements, constraints, assets, workflows, data sources and stakeholder objectives.</w:t>
      </w:r>
    </w:p>
    <w:p>
      <w:pPr>
        <w:pStyle w:val="ListNumber"/>
      </w:pPr>
      <w:r>
        <w:t>Model – represent relevant assets, processes, data and dependencies in a structured logical model.</w:t>
      </w:r>
    </w:p>
    <w:p>
      <w:pPr>
        <w:pStyle w:val="ListNumber"/>
      </w:pPr>
      <w:r>
        <w:t>Baseline – establish a classical/reference approach against which AI or QAI approaches can be evaluated.</w:t>
      </w:r>
    </w:p>
    <w:p>
      <w:pPr>
        <w:pStyle w:val="ListNumber"/>
      </w:pPr>
      <w:r>
        <w:t>Experiment – run controlled feasibility scenarios using synthetic or approved data.</w:t>
      </w:r>
    </w:p>
    <w:p>
      <w:pPr>
        <w:pStyle w:val="ListNumber"/>
      </w:pPr>
      <w:r>
        <w:t>Evaluate – measure technical performance, operational impact, resource requirements, risk and value.</w:t>
      </w:r>
    </w:p>
    <w:p>
      <w:pPr>
        <w:pStyle w:val="ListNumber"/>
      </w:pPr>
      <w:r>
        <w:t>Assure – review security, governance, data, compliance and operational assumptions.</w:t>
      </w:r>
    </w:p>
    <w:p>
      <w:pPr>
        <w:pStyle w:val="ListNumber"/>
      </w:pPr>
      <w:r>
        <w:t>Recommend – document the evidence and define a proportionate next-stage pilot.</w:t>
      </w:r>
    </w:p>
    <w:p>
      <w:pPr>
        <w:pStyle w:val="Heading1"/>
      </w:pPr>
      <w:r>
        <w:t>8. Illustrative Technical Architecture</w:t>
      </w:r>
    </w:p>
    <w:p>
      <w:r>
        <w:t>The sample architecture uses separation of concerns. User-facing services are separated from orchestration, data and workload execution. AI and potential quantum workloads are treated as specialised execution services rather than embedding technology-specific assumptions into the business workflow.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Layer</w:t>
            </w:r>
          </w:p>
        </w:tc>
        <w:tc>
          <w:tcPr>
            <w:tcW w:type="dxa" w:w="5040"/>
            <w:shd w:fill="D9EAF7"/>
          </w:tcPr>
          <w:p>
            <w:r>
              <w:rPr>
                <w:b/>
              </w:rPr>
              <w:t>Illustrative Components</w:t>
            </w:r>
          </w:p>
        </w:tc>
      </w:tr>
      <w:tr>
        <w:tc>
          <w:tcPr>
            <w:tcW w:type="dxa" w:w="5040"/>
          </w:tcPr>
          <w:p>
            <w:r>
              <w:t>User / Business</w:t>
            </w:r>
          </w:p>
        </w:tc>
        <w:tc>
          <w:tcPr>
            <w:tcW w:type="dxa" w:w="5040"/>
          </w:tcPr>
          <w:p>
            <w:r>
              <w:t>Web interface, dashboards, workflow views, decision-support outputs and reporting.</w:t>
            </w:r>
          </w:p>
        </w:tc>
      </w:tr>
      <w:tr>
        <w:tc>
          <w:tcPr>
            <w:tcW w:type="dxa" w:w="5040"/>
          </w:tcPr>
          <w:p>
            <w:r>
              <w:t>Application / API</w:t>
            </w:r>
          </w:p>
        </w:tc>
        <w:tc>
          <w:tcPr>
            <w:tcW w:type="dxa" w:w="5040"/>
          </w:tcPr>
          <w:p>
            <w:r>
              <w:t>Business services, APIs, workflow orchestration and integration services.</w:t>
            </w:r>
          </w:p>
        </w:tc>
      </w:tr>
      <w:tr>
        <w:tc>
          <w:tcPr>
            <w:tcW w:type="dxa" w:w="5040"/>
          </w:tcPr>
          <w:p>
            <w:r>
              <w:t>AI / QAI Orchestration</w:t>
            </w:r>
          </w:p>
        </w:tc>
        <w:tc>
          <w:tcPr>
            <w:tcW w:type="dxa" w:w="5040"/>
          </w:tcPr>
          <w:p>
            <w:r>
              <w:t>AI agents, model services, workload routing, experiment management and classical fallback.</w:t>
            </w:r>
          </w:p>
        </w:tc>
      </w:tr>
      <w:tr>
        <w:tc>
          <w:tcPr>
            <w:tcW w:type="dxa" w:w="5040"/>
          </w:tcPr>
          <w:p>
            <w:r>
              <w:t>Data / Digital Twin</w:t>
            </w:r>
          </w:p>
        </w:tc>
        <w:tc>
          <w:tcPr>
            <w:tcW w:type="dxa" w:w="5040"/>
          </w:tcPr>
          <w:p>
            <w:r>
              <w:t>Data services, asset models, digital-twin state, scenario data and experiment memory.</w:t>
            </w:r>
          </w:p>
        </w:tc>
      </w:tr>
      <w:tr>
        <w:tc>
          <w:tcPr>
            <w:tcW w:type="dxa" w:w="5040"/>
          </w:tcPr>
          <w:p>
            <w:r>
              <w:t>Execution</w:t>
            </w:r>
          </w:p>
        </w:tc>
        <w:tc>
          <w:tcPr>
            <w:tcW w:type="dxa" w:w="5040"/>
          </w:tcPr>
          <w:p>
            <w:r>
              <w:t>Classical compute, cloud services, simulation/emulation and optional quantum resources.</w:t>
            </w:r>
          </w:p>
        </w:tc>
      </w:tr>
      <w:tr>
        <w:tc>
          <w:tcPr>
            <w:tcW w:type="dxa" w:w="5040"/>
          </w:tcPr>
          <w:p>
            <w:r>
              <w:t>Governance &amp; Assurance</w:t>
            </w:r>
          </w:p>
        </w:tc>
        <w:tc>
          <w:tcPr>
            <w:tcW w:type="dxa" w:w="5040"/>
          </w:tcPr>
          <w:p>
            <w:r>
              <w:t>Identity, security, data governance, auditability, model assurance, acceptance criteria and monitoring.</w:t>
            </w:r>
          </w:p>
        </w:tc>
      </w:tr>
    </w:tbl>
    <w:p/>
    <w:p>
      <w:pPr>
        <w:pStyle w:val="Heading1"/>
      </w:pPr>
      <w:r>
        <w:t>9. Indicative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Week</w:t>
            </w:r>
          </w:p>
        </w:tc>
        <w:tc>
          <w:tcPr>
            <w:tcW w:type="dxa" w:w="3360"/>
            <w:shd w:fill="D9EAF7"/>
          </w:tcPr>
          <w:p>
            <w:r>
              <w:rPr>
                <w:b/>
              </w:rPr>
              <w:t>Focus</w:t>
            </w:r>
          </w:p>
        </w:tc>
        <w:tc>
          <w:tcPr>
            <w:tcW w:type="dxa" w:w="3360"/>
            <w:shd w:fill="D9EAF7"/>
          </w:tcPr>
          <w:p>
            <w:r>
              <w:rPr>
                <w:b/>
              </w:rPr>
              <w:t>Indicative Output</w:t>
            </w:r>
          </w:p>
        </w:tc>
      </w:tr>
      <w:tr>
        <w:tc>
          <w:tcPr>
            <w:tcW w:type="dxa" w:w="3360"/>
          </w:tcPr>
          <w:p>
            <w:r>
              <w:t>1</w:t>
            </w:r>
          </w:p>
        </w:tc>
        <w:tc>
          <w:tcPr>
            <w:tcW w:type="dxa" w:w="3360"/>
          </w:tcPr>
          <w:p>
            <w:r>
              <w:t>Kick-off, discovery and evidence collection</w:t>
            </w:r>
          </w:p>
        </w:tc>
        <w:tc>
          <w:tcPr>
            <w:tcW w:type="dxa" w:w="3360"/>
          </w:tcPr>
          <w:p>
            <w:r>
              <w:t>Agreed scope, stakeholder map and baseline plan</w:t>
            </w:r>
          </w:p>
        </w:tc>
      </w:tr>
      <w:tr>
        <w:tc>
          <w:tcPr>
            <w:tcW w:type="dxa" w:w="3360"/>
          </w:tcPr>
          <w:p>
            <w:r>
              <w:t>2</w:t>
            </w:r>
          </w:p>
        </w:tc>
        <w:tc>
          <w:tcPr>
            <w:tcW w:type="dxa" w:w="3360"/>
          </w:tcPr>
          <w:p>
            <w:r>
              <w:t>Current-state assessment and use-case discovery</w:t>
            </w:r>
          </w:p>
        </w:tc>
        <w:tc>
          <w:tcPr>
            <w:tcW w:type="dxa" w:w="3360"/>
          </w:tcPr>
          <w:p>
            <w:r>
              <w:t>Baseline and candidate use cases</w:t>
            </w:r>
          </w:p>
        </w:tc>
      </w:tr>
      <w:tr>
        <w:tc>
          <w:tcPr>
            <w:tcW w:type="dxa" w:w="3360"/>
          </w:tcPr>
          <w:p>
            <w:r>
              <w:t>3</w:t>
            </w:r>
          </w:p>
        </w:tc>
        <w:tc>
          <w:tcPr>
            <w:tcW w:type="dxa" w:w="3360"/>
          </w:tcPr>
          <w:p>
            <w:r>
              <w:t>Use-case prioritisation and architecture</w:t>
            </w:r>
          </w:p>
        </w:tc>
        <w:tc>
          <w:tcPr>
            <w:tcW w:type="dxa" w:w="3360"/>
          </w:tcPr>
          <w:p>
            <w:r>
              <w:t>Prioritisation matrix and architecture draft</w:t>
            </w:r>
          </w:p>
        </w:tc>
      </w:tr>
      <w:tr>
        <w:tc>
          <w:tcPr>
            <w:tcW w:type="dxa" w:w="3360"/>
          </w:tcPr>
          <w:p>
            <w:r>
              <w:t>4</w:t>
            </w:r>
          </w:p>
        </w:tc>
        <w:tc>
          <w:tcPr>
            <w:tcW w:type="dxa" w:w="3360"/>
          </w:tcPr>
          <w:p>
            <w:r>
              <w:t>PoC design and evaluation framework</w:t>
            </w:r>
          </w:p>
        </w:tc>
        <w:tc>
          <w:tcPr>
            <w:tcW w:type="dxa" w:w="3360"/>
          </w:tcPr>
          <w:p>
            <w:r>
              <w:t>PoC design, scenarios, baseline and KPIs</w:t>
            </w:r>
          </w:p>
        </w:tc>
      </w:tr>
      <w:tr>
        <w:tc>
          <w:tcPr>
            <w:tcW w:type="dxa" w:w="3360"/>
          </w:tcPr>
          <w:p>
            <w:r>
              <w:t>5</w:t>
            </w:r>
          </w:p>
        </w:tc>
        <w:tc>
          <w:tcPr>
            <w:tcW w:type="dxa" w:w="3360"/>
          </w:tcPr>
          <w:p>
            <w:r>
              <w:t>Value, risk, security and assurance</w:t>
            </w:r>
          </w:p>
        </w:tc>
        <w:tc>
          <w:tcPr>
            <w:tcW w:type="dxa" w:w="3360"/>
          </w:tcPr>
          <w:p>
            <w:r>
              <w:t>Risk/value assessment and implementation options</w:t>
            </w:r>
          </w:p>
        </w:tc>
      </w:tr>
      <w:tr>
        <w:tc>
          <w:tcPr>
            <w:tcW w:type="dxa" w:w="3360"/>
          </w:tcPr>
          <w:p>
            <w:r>
              <w:t>6</w:t>
            </w:r>
          </w:p>
        </w:tc>
        <w:tc>
          <w:tcPr>
            <w:tcW w:type="dxa" w:w="3360"/>
          </w:tcPr>
          <w:p>
            <w:r>
              <w:t>Final synthesis and customer workshop</w:t>
            </w:r>
          </w:p>
        </w:tc>
        <w:tc>
          <w:tcPr>
            <w:tcW w:type="dxa" w:w="3360"/>
          </w:tcPr>
          <w:p>
            <w:r>
              <w:t>Final report, roadmap and decision workshop</w:t>
            </w:r>
          </w:p>
        </w:tc>
      </w:tr>
    </w:tbl>
    <w:p/>
    <w:p>
      <w:pPr>
        <w:pStyle w:val="Heading1"/>
      </w:pPr>
      <w:r>
        <w:t>10. Customer Responsibilities</w:t>
      </w:r>
    </w:p>
    <w:p>
      <w:pPr>
        <w:pStyle w:val="ListBullet"/>
      </w:pPr>
      <w:r>
        <w:t>Nominate a customer project owner and relevant subject-matter contacts.</w:t>
      </w:r>
    </w:p>
    <w:p>
      <w:pPr>
        <w:pStyle w:val="ListBullet"/>
      </w:pPr>
      <w:r>
        <w:t>Provide timely access to approved documents, process information, architecture information and relevant data descriptions.</w:t>
      </w:r>
    </w:p>
    <w:p>
      <w:pPr>
        <w:pStyle w:val="ListBullet"/>
      </w:pPr>
      <w:r>
        <w:t>Confirm security, privacy and data-handling constraints before any data is used.</w:t>
      </w:r>
    </w:p>
    <w:p>
      <w:pPr>
        <w:pStyle w:val="ListBullet"/>
      </w:pPr>
      <w:r>
        <w:t>Review interim outputs and provide consolidated feedback within agreed review windows.</w:t>
      </w:r>
    </w:p>
    <w:p>
      <w:pPr>
        <w:pStyle w:val="ListBullet"/>
      </w:pPr>
      <w:r>
        <w:t>Provide authorised access to relevant systems or environments where necessary.</w:t>
      </w:r>
    </w:p>
    <w:p>
      <w:pPr>
        <w:pStyle w:val="ListBullet"/>
      </w:pPr>
      <w:r>
        <w:t>Identify mandatory government, organisational or regulatory requirements.</w:t>
      </w:r>
    </w:p>
    <w:p>
      <w:pPr>
        <w:pStyle w:val="Heading1"/>
      </w:pPr>
      <w:r>
        <w:t>11. Bhadale IT Responsibilities</w:t>
      </w:r>
    </w:p>
    <w:p>
      <w:pPr>
        <w:pStyle w:val="ListBullet"/>
      </w:pPr>
      <w:r>
        <w:t>Provide agreed professional services and deliverables using suitably qualified personnel.</w:t>
      </w:r>
    </w:p>
    <w:p>
      <w:pPr>
        <w:pStyle w:val="ListBullet"/>
      </w:pPr>
      <w:r>
        <w:t>Maintain a structured evidence and decision trail.</w:t>
      </w:r>
    </w:p>
    <w:p>
      <w:pPr>
        <w:pStyle w:val="ListBullet"/>
      </w:pPr>
      <w:r>
        <w:t>Identify assumptions, dependencies, risks and information gaps.</w:t>
      </w:r>
    </w:p>
    <w:p>
      <w:pPr>
        <w:pStyle w:val="ListBullet"/>
      </w:pPr>
      <w:r>
        <w:t>Protect customer information according to agreed contractual and security requirements.</w:t>
      </w:r>
    </w:p>
    <w:p>
      <w:pPr>
        <w:pStyle w:val="ListBullet"/>
      </w:pPr>
      <w:r>
        <w:t>Communicate material issues and proposed scope changes promptly.</w:t>
      </w:r>
    </w:p>
    <w:p>
      <w:pPr>
        <w:pStyle w:val="ListBullet"/>
      </w:pPr>
      <w:r>
        <w:t>Provide a final handover pack suitable for decision-making and future pilot planning.</w:t>
      </w:r>
    </w:p>
    <w:p>
      <w:pPr>
        <w:pStyle w:val="Heading1"/>
      </w:pPr>
      <w:r>
        <w:t>12. Assumptions and Non-Deliverables</w:t>
      </w:r>
    </w:p>
    <w:p>
      <w:r>
        <w:t>Key assumptions:</w:t>
      </w:r>
    </w:p>
    <w:p>
      <w:pPr>
        <w:pStyle w:val="ListBullet"/>
      </w:pPr>
      <w:r>
        <w:t>The engagement is a feasibility/design assessment, not a production implementation.</w:t>
      </w:r>
    </w:p>
    <w:p>
      <w:pPr>
        <w:pStyle w:val="ListBullet"/>
      </w:pPr>
      <w:r>
        <w:t>Customer-provided information is accurate and available within the agreed schedule.</w:t>
      </w:r>
    </w:p>
    <w:p>
      <w:pPr>
        <w:pStyle w:val="ListBullet"/>
      </w:pPr>
      <w:r>
        <w:t>Synthetic data may be used where real operational data is unavailable or unsuitable.</w:t>
      </w:r>
    </w:p>
    <w:p>
      <w:pPr>
        <w:pStyle w:val="ListBullet"/>
      </w:pPr>
      <w:r>
        <w:t>Customer system access will be separately authorised and governed.</w:t>
      </w:r>
    </w:p>
    <w:p>
      <w:pPr>
        <w:pStyle w:val="ListBullet"/>
      </w:pPr>
      <w:r>
        <w:t>Third-party cloud, software, hardware or quantum services are excluded unless expressly stated.</w:t>
      </w:r>
    </w:p>
    <w:p>
      <w:r>
        <w:t>Explicit non-deliverables:</w:t>
      </w:r>
    </w:p>
    <w:p>
      <w:pPr>
        <w:pStyle w:val="ListBullet"/>
      </w:pPr>
      <w:r>
        <w:t>Production deployment or managed operations.</w:t>
      </w:r>
    </w:p>
    <w:p>
      <w:pPr>
        <w:pStyle w:val="ListBullet"/>
      </w:pPr>
      <w:r>
        <w:t>Procurement of third-party software, cloud subscriptions, hardware or QPU capacity.</w:t>
      </w:r>
    </w:p>
    <w:p>
      <w:pPr>
        <w:pStyle w:val="ListBullet"/>
      </w:pPr>
      <w:r>
        <w:t>Regulatory certification or formal legal advice.</w:t>
      </w:r>
    </w:p>
    <w:p>
      <w:pPr>
        <w:pStyle w:val="ListBullet"/>
      </w:pPr>
      <w:r>
        <w:t>Replacement of existing operational systems.</w:t>
      </w:r>
    </w:p>
    <w:p>
      <w:pPr>
        <w:pStyle w:val="ListBullet"/>
      </w:pPr>
      <w:r>
        <w:t>Guarantee of a particular AI or quantum advantage before feasibility evidence exists.</w:t>
      </w:r>
    </w:p>
    <w:p>
      <w:pPr>
        <w:pStyle w:val="Heading1"/>
      </w:pPr>
      <w:r>
        <w:t>13. Project Team</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Role</w:t>
            </w:r>
          </w:p>
        </w:tc>
        <w:tc>
          <w:tcPr>
            <w:tcW w:type="dxa" w:w="5040"/>
            <w:shd w:fill="D9EAF7"/>
          </w:tcPr>
          <w:p>
            <w:r>
              <w:rPr>
                <w:b/>
              </w:rPr>
              <w:t>Proposed Responsibility</w:t>
            </w:r>
          </w:p>
        </w:tc>
      </w:tr>
      <w:tr>
        <w:tc>
          <w:tcPr>
            <w:tcW w:type="dxa" w:w="5040"/>
          </w:tcPr>
          <w:p>
            <w:r>
              <w:t>Vijayananda Mohire – Founder &amp; Director</w:t>
            </w:r>
          </w:p>
        </w:tc>
        <w:tc>
          <w:tcPr>
            <w:tcW w:type="dxa" w:w="5040"/>
          </w:tcPr>
          <w:p>
            <w:r>
              <w:t>Engagement leadership, systems engineering, AI/QAI architecture, technical strategy, stakeholder engagement and final deliverables.</w:t>
            </w:r>
          </w:p>
        </w:tc>
      </w:tr>
      <w:tr>
        <w:tc>
          <w:tcPr>
            <w:tcW w:type="dxa" w:w="5040"/>
          </w:tcPr>
          <w:p>
            <w:r>
              <w:t>Specialist resources – as required</w:t>
            </w:r>
          </w:p>
        </w:tc>
        <w:tc>
          <w:tcPr>
            <w:tcW w:type="dxa" w:w="5040"/>
          </w:tcPr>
          <w:p>
            <w:r>
              <w:t>Additional software, cloud, data, cybersecurity or domain expertise where the agreed scope requires it.</w:t>
            </w:r>
          </w:p>
        </w:tc>
      </w:tr>
    </w:tbl>
    <w:p/>
    <w:p>
      <w:r>
        <w:t>Professional memberships associated with the principal include IEEE Senior Member, IEEE Computer Society, IEEE Communications Society, ACM, INCOSE, AAAI and Australian Cost Engineering Society (ACES).</w:t>
      </w:r>
    </w:p>
    <w:p>
      <w:pPr>
        <w:pStyle w:val="Heading1"/>
      </w:pPr>
      <w:r>
        <w:t>14. Indicative Commercial Proposal</w:t>
      </w:r>
    </w:p>
    <w:p>
      <w:r>
        <w:t>The following pricing is intentionally illustrative for training and proposal-development purposes. It is not a quote to a real customer and would be recalculated after receiving the actual statement of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Indicative Fee (AUD)</w:t>
            </w:r>
          </w:p>
        </w:tc>
      </w:tr>
      <w:tr>
        <w:tc>
          <w:tcPr>
            <w:tcW w:type="dxa" w:w="5040"/>
          </w:tcPr>
          <w:p>
            <w:r>
              <w:t>Discovery, baseline and use-case assessment</w:t>
            </w:r>
          </w:p>
        </w:tc>
        <w:tc>
          <w:tcPr>
            <w:tcW w:type="dxa" w:w="5040"/>
          </w:tcPr>
          <w:p>
            <w:r>
              <w:t>6,200</w:t>
            </w:r>
          </w:p>
        </w:tc>
      </w:tr>
      <w:tr>
        <w:tc>
          <w:tcPr>
            <w:tcW w:type="dxa" w:w="5040"/>
          </w:tcPr>
          <w:p>
            <w:r>
              <w:t>Architecture and PoC design</w:t>
            </w:r>
          </w:p>
        </w:tc>
        <w:tc>
          <w:tcPr>
            <w:tcW w:type="dxa" w:w="5040"/>
          </w:tcPr>
          <w:p>
            <w:r>
              <w:t>7,400</w:t>
            </w:r>
          </w:p>
        </w:tc>
      </w:tr>
      <w:tr>
        <w:tc>
          <w:tcPr>
            <w:tcW w:type="dxa" w:w="5040"/>
          </w:tcPr>
          <w:p>
            <w:r>
              <w:t>Value, risk and assurance assessment</w:t>
            </w:r>
          </w:p>
        </w:tc>
        <w:tc>
          <w:tcPr>
            <w:tcW w:type="dxa" w:w="5040"/>
          </w:tcPr>
          <w:p>
            <w:r>
              <w:t>4,600</w:t>
            </w:r>
          </w:p>
        </w:tc>
      </w:tr>
      <w:tr>
        <w:tc>
          <w:tcPr>
            <w:tcW w:type="dxa" w:w="5040"/>
          </w:tcPr>
          <w:p>
            <w:r>
              <w:t>Final report, roadmap and workshops</w:t>
            </w:r>
          </w:p>
        </w:tc>
        <w:tc>
          <w:tcPr>
            <w:tcW w:type="dxa" w:w="5040"/>
          </w:tcPr>
          <w:p>
            <w:r>
              <w:t>4,100</w:t>
            </w:r>
          </w:p>
        </w:tc>
      </w:tr>
      <w:tr>
        <w:tc>
          <w:tcPr>
            <w:tcW w:type="dxa" w:w="5040"/>
          </w:tcPr>
          <w:p>
            <w:r>
              <w:t>Project administration / contingency allowance</w:t>
            </w:r>
          </w:p>
        </w:tc>
        <w:tc>
          <w:tcPr>
            <w:tcW w:type="dxa" w:w="5040"/>
          </w:tcPr>
          <w:p>
            <w:r>
              <w:t>2,500</w:t>
            </w:r>
          </w:p>
        </w:tc>
      </w:tr>
      <w:tr>
        <w:tc>
          <w:tcPr>
            <w:tcW w:type="dxa" w:w="5040"/>
          </w:tcPr>
          <w:p>
            <w:r>
              <w:t>Illustrative total professional fee</w:t>
            </w:r>
          </w:p>
        </w:tc>
        <w:tc>
          <w:tcPr>
            <w:tcW w:type="dxa" w:w="5040"/>
          </w:tcPr>
          <w:p>
            <w:r>
              <w:t>24,800</w:t>
            </w:r>
          </w:p>
        </w:tc>
      </w:tr>
    </w:tbl>
    <w:p/>
    <w:p>
      <w:r>
        <w:t>Travel and separately purchased third-party services are excluded unless expressly included. Tax treatment, including any GST obligations, would be confirmed based on the actual contracting entity, place of supply, customer requirements and applicable tax rules.</w:t>
      </w:r>
    </w:p>
    <w:p>
      <w:pPr>
        <w:pStyle w:val="Heading1"/>
      </w:pPr>
      <w:r>
        <w:t>15. Intellectual Property</w:t>
      </w:r>
    </w:p>
    <w:p>
      <w:r>
        <w:t>Bhadale IT distinguishes between background intellectual property, project-specific deliverables and new foreground intellectual property created during an engagement.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IP Category</w:t>
            </w:r>
          </w:p>
        </w:tc>
        <w:tc>
          <w:tcPr>
            <w:tcW w:type="dxa" w:w="5040"/>
            <w:shd w:fill="D9EAF7"/>
          </w:tcPr>
          <w:p>
            <w:r>
              <w:rPr>
                <w:b/>
              </w:rPr>
              <w:t>Illustrative Treatment</w:t>
            </w:r>
          </w:p>
        </w:tc>
      </w:tr>
      <w:tr>
        <w:tc>
          <w:tcPr>
            <w:tcW w:type="dxa" w:w="5040"/>
          </w:tcPr>
          <w:p>
            <w:r>
              <w:t>Background IP</w:t>
            </w:r>
          </w:p>
        </w:tc>
        <w:tc>
          <w:tcPr>
            <w:tcW w:type="dxa" w:w="5040"/>
          </w:tcPr>
          <w:p>
            <w:r>
              <w:t>Bhadale IT frameworks, methods, reusable software, models, templates and pre-existing research remain Bhadale IT property unless otherwise agreed.</w:t>
            </w:r>
          </w:p>
        </w:tc>
      </w:tr>
      <w:tr>
        <w:tc>
          <w:tcPr>
            <w:tcW w:type="dxa" w:w="5040"/>
          </w:tcPr>
          <w:p>
            <w:r>
              <w:t>Customer Materials</w:t>
            </w:r>
          </w:p>
        </w:tc>
        <w:tc>
          <w:tcPr>
            <w:tcW w:type="dxa" w:w="5040"/>
          </w:tcPr>
          <w:p>
            <w:r>
              <w:t>Customer-provided data, documents and proprietary materials remain subject to customer ownership and agreed use restrictions.</w:t>
            </w:r>
          </w:p>
        </w:tc>
      </w:tr>
      <w:tr>
        <w:tc>
          <w:tcPr>
            <w:tcW w:type="dxa" w:w="5040"/>
          </w:tcPr>
          <w:p>
            <w:r>
              <w:t>Project Deliverables</w:t>
            </w:r>
          </w:p>
        </w:tc>
        <w:tc>
          <w:tcPr>
            <w:tcW w:type="dxa" w:w="5040"/>
          </w:tcPr>
          <w:p>
            <w:r>
              <w:t>Reports, agreed architecture documents and assessment outputs are provided according to the final contract.</w:t>
            </w:r>
          </w:p>
        </w:tc>
      </w:tr>
      <w:tr>
        <w:tc>
          <w:tcPr>
            <w:tcW w:type="dxa" w:w="5040"/>
          </w:tcPr>
          <w:p>
            <w:r>
              <w:t>Foreground IP</w:t>
            </w:r>
          </w:p>
        </w:tc>
        <w:tc>
          <w:tcPr>
            <w:tcW w:type="dxa" w:w="5040"/>
          </w:tcPr>
          <w:p>
            <w:r>
              <w:t>Newly created IP with independent commercial or research value should be explicitly addressed in the contract before work begins.</w:t>
            </w:r>
          </w:p>
        </w:tc>
      </w:tr>
    </w:tbl>
    <w:p/>
    <w:p>
      <w:pPr>
        <w:pStyle w:val="Heading1"/>
      </w:pPr>
      <w:r>
        <w:t>16. Risk, Security &amp; Business Continuity</w:t>
      </w:r>
    </w:p>
    <w:p>
      <w:r>
        <w:t>Bhadale IT will maintain a risk-oriented approach covering information security, access, data handling, supplier dependencies, key-person risk, service interruption and recovery.</w:t>
      </w:r>
    </w:p>
    <w:p>
      <w:pPr>
        <w:pStyle w:val="ListBullet"/>
      </w:pPr>
      <w:r>
        <w:t>No production or sensitive customer data will be used in a demonstration without appropriate authorisation.</w:t>
      </w:r>
    </w:p>
    <w:p>
      <w:pPr>
        <w:pStyle w:val="ListBullet"/>
      </w:pPr>
      <w:r>
        <w:t>Security and privacy assumptions will be documented.</w:t>
      </w:r>
    </w:p>
    <w:p>
      <w:pPr>
        <w:pStyle w:val="ListBullet"/>
      </w:pPr>
      <w:r>
        <w:t>Material dependencies and single points of failure will be identified.</w:t>
      </w:r>
    </w:p>
    <w:p>
      <w:pPr>
        <w:pStyle w:val="ListBullet"/>
      </w:pPr>
      <w:r>
        <w:t>The assessment will include a practical transition/recovery perspective.</w:t>
      </w:r>
    </w:p>
    <w:p>
      <w:pPr>
        <w:pStyle w:val="Heading1"/>
      </w:pPr>
      <w:r>
        <w:t>17. Performance Measures &amp; Acceptance</w:t>
      </w:r>
    </w:p>
    <w:p>
      <w:pPr>
        <w:pStyle w:val="ListBullet"/>
      </w:pPr>
      <w:r>
        <w:t>All agreed work packages are completed or formally varied.</w:t>
      </w:r>
    </w:p>
    <w:p>
      <w:pPr>
        <w:pStyle w:val="ListBullet"/>
      </w:pPr>
      <w:r>
        <w:t>The current-state baseline and evidence register are documented.</w:t>
      </w:r>
    </w:p>
    <w:p>
      <w:pPr>
        <w:pStyle w:val="ListBullet"/>
      </w:pPr>
      <w:r>
        <w:t>Candidate use cases have value, feasibility, data, risk and dependency assessments.</w:t>
      </w:r>
    </w:p>
    <w:p>
      <w:pPr>
        <w:pStyle w:val="ListBullet"/>
      </w:pPr>
      <w:r>
        <w:t>The target architecture and PoC design are reviewed with nominated stakeholders.</w:t>
      </w:r>
    </w:p>
    <w:p>
      <w:pPr>
        <w:pStyle w:val="ListBullet"/>
      </w:pPr>
      <w:r>
        <w:t>KPIs and acceptance criteria are documented for the next-stage pilot.</w:t>
      </w:r>
    </w:p>
    <w:p>
      <w:pPr>
        <w:pStyle w:val="ListBullet"/>
      </w:pPr>
      <w:r>
        <w:t>Final report and roadmap are delivered and presented in the agreed format.</w:t>
      </w:r>
    </w:p>
    <w:p>
      <w:pPr>
        <w:pStyle w:val="Heading1"/>
      </w:pPr>
      <w:r>
        <w:t>18. Proposal Validity, Changes and Contracting</w:t>
      </w:r>
    </w:p>
    <w:p>
      <w:r>
        <w:t>This sample proposal is assumed to be valid for 30 days from the illustrative proposal date. In an actual engagement, scope, timing and price would be confirmed through the customer's procurement and contracting process.</w:t>
      </w:r>
    </w:p>
    <w:p>
      <w:r>
        <w:t>Changes to scope, timing, customer dependencies or required resources may require a written change request. If a customer requires additional features or accelerated delivery, Bhadale IT would assess the effect on scope, resources, risk and price before accepting the change.</w:t>
      </w:r>
    </w:p>
    <w:p>
      <w:pPr>
        <w:pStyle w:val="Heading1"/>
      </w:pPr>
      <w:r>
        <w:t>19. Sample Next Steps</w:t>
      </w:r>
    </w:p>
    <w:p>
      <w:pPr>
        <w:pStyle w:val="ListNumber"/>
      </w:pPr>
      <w:r>
        <w:t>Customer confirms the requirement and procurement pathway.</w:t>
      </w:r>
    </w:p>
    <w:p>
      <w:pPr>
        <w:pStyle w:val="ListNumber"/>
      </w:pPr>
      <w:r>
        <w:t>Bhadale IT reviews the statement of requirements, draft contract and mandatory supplier conditions.</w:t>
      </w:r>
    </w:p>
    <w:p>
      <w:pPr>
        <w:pStyle w:val="ListNumber"/>
      </w:pPr>
      <w:r>
        <w:t>Both parties confirm scope, eligibility, commercial assumptions and delivery schedule.</w:t>
      </w:r>
    </w:p>
    <w:p>
      <w:pPr>
        <w:pStyle w:val="ListNumber"/>
      </w:pPr>
      <w:r>
        <w:t>Contract / purchase order is executed through the approved process.</w:t>
      </w:r>
    </w:p>
    <w:p>
      <w:pPr>
        <w:pStyle w:val="ListNumber"/>
      </w:pPr>
      <w:r>
        <w:t>Kick-off and discovery commence.</w:t>
      </w:r>
    </w:p>
    <w:p>
      <w:pPr>
        <w:pStyle w:val="Heading1"/>
      </w:pPr>
      <w:r>
        <w:t>Appendix A – Capability Snapshot</w:t>
      </w:r>
    </w:p>
    <w:p>
      <w:pPr>
        <w:pStyle w:val="ListBullet"/>
      </w:pPr>
      <w:r>
        <w:t>AI and agentic AI solution concepts</w:t>
      </w:r>
    </w:p>
    <w:p>
      <w:pPr>
        <w:pStyle w:val="ListBullet"/>
      </w:pPr>
      <w:r>
        <w:t>Quantum AI and hybrid quantum-classical computing</w:t>
      </w:r>
    </w:p>
    <w:p>
      <w:pPr>
        <w:pStyle w:val="ListBullet"/>
      </w:pPr>
      <w:r>
        <w:t>Cloud, data and analytics</w:t>
      </w:r>
    </w:p>
    <w:p>
      <w:pPr>
        <w:pStyle w:val="ListBullet"/>
      </w:pPr>
      <w:r>
        <w:t>Digital twins and simulation/emulation</w:t>
      </w:r>
    </w:p>
    <w:p>
      <w:pPr>
        <w:pStyle w:val="ListBullet"/>
      </w:pPr>
      <w:r>
        <w:t>Cybersecurity and post-quantum cryptography assessment concepts</w:t>
      </w:r>
    </w:p>
    <w:p>
      <w:pPr>
        <w:pStyle w:val="ListBullet"/>
      </w:pPr>
      <w:r>
        <w:t>Software and systems engineering</w:t>
      </w:r>
    </w:p>
    <w:p>
      <w:pPr>
        <w:pStyle w:val="ListBullet"/>
      </w:pPr>
      <w:r>
        <w:t>Enterprise and solution architecture</w:t>
      </w:r>
    </w:p>
    <w:p>
      <w:pPr>
        <w:pStyle w:val="ListBullet"/>
      </w:pPr>
      <w:r>
        <w:t>Technology modernization</w:t>
      </w:r>
    </w:p>
    <w:p>
      <w:pPr>
        <w:pStyle w:val="ListBullet"/>
      </w:pPr>
      <w:r>
        <w:t>Research, proof-of-concept and technical consulting</w:t>
      </w:r>
    </w:p>
    <w:p>
      <w:pPr>
        <w:pStyle w:val="ListBullet"/>
      </w:pPr>
      <w:r>
        <w:t>Governance, assurance and responsible technology adoption</w:t>
      </w:r>
    </w:p>
    <w:p>
      <w:pPr>
        <w:pStyle w:val="Heading1"/>
      </w:pPr>
      <w:r>
        <w:t>Appendix B – Evidence &amp; Credentials</w:t>
      </w:r>
    </w:p>
    <w:p>
      <w:pPr>
        <w:pStyle w:val="ListBullet"/>
      </w:pPr>
      <w:r>
        <w:t>NSW Small Business Commissioner Courses – Certificate of Completion, 26 September 2026.</w:t>
      </w:r>
    </w:p>
    <w:p>
      <w:pPr>
        <w:pStyle w:val="ListBullet"/>
      </w:pPr>
      <w:r>
        <w:t>NSW Government Supplier Hub – Seller registration completed.</w:t>
      </w:r>
    </w:p>
    <w:p>
      <w:pPr>
        <w:pStyle w:val="ListBullet"/>
      </w:pPr>
      <w:r>
        <w:t>Professional memberships: IEEE Senior Member; IEEE Computer Society; IEEE Communications Society; ACM; INCOSE; AAAI; Australian Cost Engineering Society (ACES).</w:t>
      </w:r>
    </w:p>
    <w:p>
      <w:pPr>
        <w:pStyle w:val="ListBullet"/>
      </w:pPr>
      <w:r>
        <w:t>Bhadale IT Capability Statement – draft master capability document.</w:t>
      </w:r>
    </w:p>
    <w:p>
      <w:pPr>
        <w:pStyle w:val="ListBullet"/>
      </w:pPr>
      <w:r>
        <w:t>Business continuity planning, supplier-readiness and proposal/pricing training materials developed during Australian procurement preparation.</w:t>
      </w:r>
    </w:p>
    <w:p>
      <w:pPr>
        <w:pStyle w:val="ListBullet"/>
      </w:pPr>
      <w:r>
        <w:t>Relevant QAI, digital-twin, AI, cybersecurity/PQC and systems-engineering R&amp;D materials available for appropriately scoped demonstrations.</w:t>
      </w:r>
    </w:p>
    <w:p>
      <w:pPr>
        <w:pStyle w:val="Heading1"/>
      </w:pPr>
      <w:r>
        <w:t>Appendix C – Evidence Controls</w:t>
      </w:r>
    </w:p>
    <w:p>
      <w:r>
        <w:t>This sample intentionally does not claim named NSW Government customers, completed government contracts, customer testimonials, Australian ABN/GST registration, Australian incorporation or government awards. Such fields should be populated only when supported by documentary evidence and applicable to the particular procurement.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Bhadale IT | Sample Proposal | AI &amp; Digital Twin Feasibility Assessment | SAMPLE / NOT A CONTRACT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