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CanadaBuys / SAP Business Network</w:t>
        <w:br/>
        <w:t>RFP Bid Workflow Playbook</w:t>
      </w:r>
    </w:p>
    <w:p>
      <w:pPr>
        <w:jc w:val="center"/>
      </w:pPr>
      <w:r>
        <w:rPr>
          <w:i/>
          <w:sz w:val="24"/>
        </w:rPr>
        <w:t>Repeatable procedure for Bhadale IT Pvt. Ltd.</w:t>
      </w:r>
    </w:p>
    <w:p>
      <w:pPr>
        <w:jc w:val="center"/>
      </w:pPr>
      <w:r>
        <w:rPr>
          <w:sz w:val="20"/>
        </w:rPr>
        <w:t>Prepared: 25 September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r>
              <w:rPr>
                <w:b/>
              </w:rPr>
              <w:t>Purpose</w:t>
            </w:r>
            <w:r>
              <w:br/>
              <w:t>Capture the complete sequence learned from the live Government of Canada RFP exercise so that the same CanadaBuys → SAP Business Network Discovery → Ariba event workflow can be repeated for future opportunities.</w:t>
            </w:r>
          </w:p>
        </w:tc>
      </w:tr>
    </w:tbl>
    <w:p/>
    <w:p>
      <w:r>
        <w:rPr>
          <w:b/>
        </w:rPr>
        <w:t xml:space="preserve">Important scope note: </w:t>
      </w:r>
      <w:r>
        <w:t>This playbook documents the access, discovery, review, response-preparation and submission workflow. Access to a live SAP event does not by itself establish legal or solicitation-specific eligibility. Eligibility, mandatory requirements, Canadian-content/trade requirements, security, privacy, certifications, and other conditions must be checked separately for every opportunity.</w:t>
      </w:r>
    </w:p>
    <w:p>
      <w:pPr>
        <w:pStyle w:val="Heading1"/>
      </w:pPr>
      <w:r>
        <w:t>1. Workflow at a Glance</w:t>
      </w:r>
    </w:p>
    <w:p>
      <w:pPr>
        <w:spacing w:after="20"/>
        <w:ind w:left="288"/>
      </w:pPr>
      <w:r>
        <w:rPr>
          <w:b/>
        </w:rPr>
        <w:t>CanadaBuys tender catalogue</w:t>
      </w:r>
    </w:p>
    <w:p>
      <w:pPr>
        <w:spacing w:after="20"/>
        <w:ind w:left="288"/>
      </w:pPr>
      <w:r>
        <w:rPr>
          <w:b w:val="0"/>
        </w:rPr>
        <w:t>→ Bidding details</w:t>
      </w:r>
    </w:p>
    <w:p>
      <w:pPr>
        <w:spacing w:after="20"/>
        <w:ind w:left="288"/>
      </w:pPr>
      <w:r>
        <w:rPr>
          <w:b w:val="0"/>
        </w:rPr>
        <w:t>→ Login to SAP Business Network</w:t>
      </w:r>
    </w:p>
    <w:p>
      <w:pPr>
        <w:spacing w:after="20"/>
        <w:ind w:left="288"/>
      </w:pPr>
      <w:r>
        <w:rPr>
          <w:b w:val="0"/>
        </w:rPr>
        <w:t>→ Continue to SAP Business Network</w:t>
      </w:r>
    </w:p>
    <w:p>
      <w:pPr>
        <w:spacing w:after="20"/>
        <w:ind w:left="288"/>
      </w:pPr>
      <w:r>
        <w:rPr>
          <w:b/>
        </w:rPr>
        <w:t>→ SAP Business Network Discovery posting</w:t>
      </w:r>
    </w:p>
    <w:p>
      <w:pPr>
        <w:spacing w:after="20"/>
        <w:ind w:left="288"/>
      </w:pPr>
      <w:r>
        <w:rPr>
          <w:b w:val="0"/>
        </w:rPr>
        <w:t>→ Respond</w:t>
      </w:r>
    </w:p>
    <w:p>
      <w:pPr>
        <w:spacing w:after="20"/>
        <w:ind w:left="288"/>
      </w:pPr>
      <w:r>
        <w:rPr>
          <w:b w:val="0"/>
        </w:rPr>
        <w:t>→ Event Details</w:t>
      </w:r>
    </w:p>
    <w:p>
      <w:pPr>
        <w:spacing w:after="20"/>
        <w:ind w:left="288"/>
      </w:pPr>
      <w:r>
        <w:rPr>
          <w:b w:val="0"/>
        </w:rPr>
        <w:t>→ Review Event Details</w:t>
      </w:r>
    </w:p>
    <w:p>
      <w:pPr>
        <w:spacing w:after="20"/>
        <w:ind w:left="288"/>
      </w:pPr>
      <w:r>
        <w:rPr>
          <w:b w:val="0"/>
        </w:rPr>
        <w:t>→ Review Prerequisites</w:t>
      </w:r>
    </w:p>
    <w:p>
      <w:pPr>
        <w:spacing w:after="20"/>
        <w:ind w:left="288"/>
      </w:pPr>
      <w:r>
        <w:rPr>
          <w:b w:val="0"/>
        </w:rPr>
        <w:t>→ Accept prerequisite agreement</w:t>
      </w:r>
    </w:p>
    <w:p>
      <w:pPr>
        <w:spacing w:after="20"/>
        <w:ind w:left="288"/>
      </w:pPr>
      <w:r>
        <w:rPr>
          <w:b/>
        </w:rPr>
        <w:t>→ Submit Response</w:t>
      </w:r>
    </w:p>
    <w:p>
      <w:pPr>
        <w:spacing w:after="20"/>
        <w:ind w:left="288"/>
      </w:pPr>
      <w:r>
        <w:rPr>
          <w:b w:val="0"/>
        </w:rPr>
        <w:t>→ Download/review tender documents</w:t>
      </w:r>
    </w:p>
    <w:p>
      <w:pPr>
        <w:spacing w:after="20"/>
        <w:ind w:left="288"/>
      </w:pPr>
      <w:r>
        <w:rPr>
          <w:b w:val="0"/>
        </w:rPr>
        <w:t>→ Prepare Technical / Financial / Forms / Additional Information</w:t>
      </w:r>
    </w:p>
    <w:p>
      <w:pPr>
        <w:spacing w:after="20"/>
        <w:ind w:left="288"/>
      </w:pPr>
      <w:r>
        <w:rPr>
          <w:b w:val="0"/>
        </w:rPr>
        <w:t>→ Attach documents</w:t>
      </w:r>
    </w:p>
    <w:p>
      <w:pPr>
        <w:spacing w:after="20"/>
        <w:ind w:left="288"/>
      </w:pPr>
      <w:r>
        <w:rPr>
          <w:b w:val="0"/>
        </w:rPr>
        <w:t>→ Save Draft frequently</w:t>
      </w:r>
    </w:p>
    <w:p>
      <w:pPr>
        <w:spacing w:after="20"/>
        <w:ind w:left="288"/>
      </w:pPr>
      <w:r>
        <w:rPr>
          <w:b/>
        </w:rPr>
        <w:t>→ Validate eligibility and compliance</w:t>
      </w:r>
    </w:p>
    <w:p>
      <w:pPr>
        <w:spacing w:after="20"/>
        <w:ind w:left="288"/>
      </w:pPr>
      <w:r>
        <w:rPr>
          <w:b w:val="0"/>
        </w:rPr>
        <w:t>→ Submit Entire Response (only when ready)</w:t>
      </w:r>
    </w:p>
    <w:p>
      <w:pPr>
        <w:pStyle w:val="Heading1"/>
      </w:pPr>
      <w:r>
        <w:t>2. What We Successfully Demonstrated</w:t>
      </w:r>
    </w:p>
    <w:p>
      <w:pPr>
        <w:pStyle w:val="ListBullet"/>
        <w:spacing w:after="40"/>
      </w:pPr>
      <w:r>
        <w:t>The existing Bhadale IT SAP Business Network account can reach a live Government of Canada SAP sourcing event.</w:t>
      </w:r>
    </w:p>
    <w:p>
      <w:pPr>
        <w:pStyle w:val="ListBullet"/>
        <w:spacing w:after="40"/>
      </w:pPr>
      <w:r>
        <w:t>The event workflow progressed beyond simple document viewing into the actual response page.</w:t>
      </w:r>
    </w:p>
    <w:p>
      <w:pPr>
        <w:pStyle w:val="ListBullet"/>
        <w:spacing w:after="40"/>
      </w:pPr>
      <w:r>
        <w:t>The response page exposed attachment fields for the Technical Offer, Financial Offer, Offer Submission Form, Offeror Declaration, Additional Information and additional documentation where applicable.</w:t>
      </w:r>
    </w:p>
    <w:p>
      <w:pPr>
        <w:pStyle w:val="ListBullet"/>
        <w:spacing w:after="40"/>
      </w:pPr>
      <w:r>
        <w:t>The 'Submit Entire Response' control was enabled, demonstrating that the account had reached the actual response-submission stage for that event.</w:t>
      </w:r>
    </w:p>
    <w:p>
      <w:pPr>
        <w:pStyle w:val="ListBullet"/>
        <w:spacing w:after="40"/>
      </w:pPr>
      <w:r>
        <w:t>No bid was submitted; the exercise was used to understand and document the workflow.</w:t>
      </w:r>
    </w:p>
    <w:p>
      <w:pPr>
        <w:pStyle w:val="ListBullet"/>
        <w:spacing w:after="40"/>
      </w:pPr>
      <w:r>
        <w:t>The exercise should be treated as a reusable reference case rather than as proof that every future CanadaBuys opportunity will have the same eligibility rules.</w:t>
      </w:r>
    </w:p>
    <w:p>
      <w:pPr>
        <w:pStyle w:val="Heading1"/>
      </w:pPr>
      <w:r>
        <w:t>3. Account and Portal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Operational 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CanadaBuys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Government of Canada procurement/tender catalogue and notice layer.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Start here for official tender information and bidding details.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SAP Business Network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Supplier account used to access applicable Government of Canada sourcing events.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the existing Bhadale IT account; avoid unnecessary duplicate accounts.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SAP Business Network 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Discovery/event environment used for applicable PSPC opportunities.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the Respond function to enter the event.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SAP Event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live sourcing event containing event details, prerequisites, tender documents and response fields.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 the complete event before preparing a response.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Buyer public 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public Discovery profile for a buyer, such as Government of Canada.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 not confuse the buyer profile with Bhadale IT's supplier account.</w:t>
            </w:r>
          </w:p>
        </w:tc>
      </w:tr>
    </w:tbl>
    <w:p>
      <w:pPr>
        <w:pStyle w:val="Heading1"/>
      </w:pPr>
      <w:r>
        <w:t>4. Step-by-Step: Find an Opportunity on CanadaBuys</w:t>
      </w:r>
    </w:p>
    <w:p>
      <w:pPr>
        <w:pStyle w:val="ListNumber"/>
        <w:spacing w:after="40"/>
      </w:pPr>
      <w:r>
        <w:t>Open the CanadaBuys tender opportunities catalogue.</w:t>
      </w:r>
    </w:p>
    <w:p>
      <w:pPr>
        <w:pStyle w:val="ListNumber"/>
        <w:spacing w:after="40"/>
      </w:pPr>
      <w:r>
        <w:t>Search or filter for opportunities relevant to Bhadale IT/QAI capabilities.</w:t>
      </w:r>
    </w:p>
    <w:p>
      <w:pPr>
        <w:pStyle w:val="ListNumber"/>
        <w:spacing w:after="40"/>
      </w:pPr>
      <w:r>
        <w:t>Open the tender notice.</w:t>
      </w:r>
    </w:p>
    <w:p>
      <w:pPr>
        <w:pStyle w:val="ListNumber"/>
        <w:spacing w:after="40"/>
      </w:pPr>
      <w:r>
        <w:t>Review the notice before entering SAP, including closing date, buyer, procurement method, commodity/category, amendments, attachments and any stated eligibility restrictions.</w:t>
      </w:r>
    </w:p>
    <w:p>
      <w:pPr>
        <w:pStyle w:val="ListNumber"/>
        <w:spacing w:after="40"/>
      </w:pPr>
      <w:r>
        <w:t>Open the 'Bidding details' tab when the opportunity is posted through SAP Business Network Discovery.</w:t>
      </w:r>
    </w:p>
    <w:p>
      <w:pPr>
        <w:pStyle w:val="ListNumber"/>
        <w:spacing w:after="40"/>
      </w:pPr>
      <w:r>
        <w:t>Select 'Login to SAP Business Network to view this opportunity'.</w:t>
      </w:r>
    </w:p>
    <w:p>
      <w:pPr>
        <w:pStyle w:val="ListNumber"/>
        <w:spacing w:after="40"/>
      </w:pPr>
      <w:r>
        <w:t>On the CanadaBuys transition page, select 'Continue to SAP Business Network'.</w:t>
      </w:r>
    </w:p>
    <w:p>
      <w:pPr>
        <w:pStyle w:val="Heading1"/>
      </w:pPr>
      <w:r>
        <w:t>5. Step-by-Step: Enter the SAP Business Network Event</w:t>
      </w:r>
    </w:p>
    <w:p>
      <w:pPr>
        <w:pStyle w:val="ListNumber"/>
        <w:spacing w:after="40"/>
      </w:pPr>
      <w:r>
        <w:t>Sign in using the existing Bhadale IT SAP Business Network credentials.</w:t>
      </w:r>
    </w:p>
    <w:p>
      <w:pPr>
        <w:pStyle w:val="ListNumber"/>
        <w:spacing w:after="40"/>
      </w:pPr>
      <w:r>
        <w:t>After successful sign-in, the relevant tender opens as an SAP sourcing Event.</w:t>
      </w:r>
    </w:p>
    <w:p>
      <w:pPr>
        <w:pStyle w:val="ListNumber"/>
        <w:spacing w:after="40"/>
      </w:pPr>
      <w:r>
        <w:t>Review the Event Details page and its Checklist.</w:t>
      </w:r>
    </w:p>
    <w:p>
      <w:pPr>
        <w:pStyle w:val="ListNumber"/>
        <w:spacing w:after="40"/>
      </w:pPr>
      <w:r>
        <w:t>Select 'Review Event Details' to understand the event before accepting prerequisites.</w:t>
      </w:r>
    </w:p>
    <w:p>
      <w:pPr>
        <w:pStyle w:val="ListNumber"/>
        <w:spacing w:after="40"/>
      </w:pPr>
      <w:r>
        <w:t>Use 'Download Content' where useful. CanadaBuys documents this function as providing event content and an Excel summary; the event may also provide downloadable attachments.</w:t>
      </w:r>
    </w:p>
    <w:p>
      <w:pPr>
        <w:pStyle w:val="ListNumber"/>
        <w:spacing w:after="40"/>
      </w:pPr>
      <w:r>
        <w:t>Do not assume that reaching the event means the supplier is legally eligible. Perform the solicitation-specific eligibility check before preparing a final bid.</w:t>
      </w:r>
    </w:p>
    <w:p>
      <w:pPr>
        <w:pStyle w:val="Heading1"/>
      </w:pPr>
      <w:r>
        <w:t>6. Review Prerequisites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>Key checkpoint</w:t>
            </w:r>
            <w:r>
              <w:br/>
              <w:t>The 'Review Prerequisites' step is required to gain access to the rest of the opportunity. Accepting the event agreement is not the same thing as submitting a bid. It enables participation in the event and event-related workflow/notifications.</w:t>
            </w:r>
          </w:p>
        </w:tc>
      </w:tr>
    </w:tbl>
    <w:p>
      <w:pPr>
        <w:pStyle w:val="ListNumber"/>
        <w:spacing w:after="40"/>
      </w:pPr>
      <w:r>
        <w:t>Open 'Review Prerequisites'.</w:t>
      </w:r>
    </w:p>
    <w:p>
      <w:pPr>
        <w:pStyle w:val="ListNumber"/>
        <w:spacing w:after="40"/>
      </w:pPr>
      <w:r>
        <w:t>Read the bidder/event agreement and any event-specific prerequisites.</w:t>
      </w:r>
    </w:p>
    <w:p>
      <w:pPr>
        <w:pStyle w:val="ListNumber"/>
        <w:spacing w:after="40"/>
      </w:pPr>
      <w:r>
        <w:t>Confirm that the person accessing the event is authorized to act for the supplier, where the agreement requires that representation.</w:t>
      </w:r>
    </w:p>
    <w:p>
      <w:pPr>
        <w:pStyle w:val="ListNumber"/>
        <w:spacing w:after="40"/>
      </w:pPr>
      <w:r>
        <w:t>Select the appropriate acceptance option only when authorized and when the terms are acceptable.</w:t>
      </w:r>
    </w:p>
    <w:p>
      <w:pPr>
        <w:pStyle w:val="ListNumber"/>
        <w:spacing w:after="40"/>
      </w:pPr>
      <w:r>
        <w:t>Continue to the response area.</w:t>
      </w:r>
    </w:p>
    <w:p>
      <w:pPr>
        <w:pStyle w:val="ListNumber"/>
        <w:spacing w:after="40"/>
      </w:pPr>
      <w:r>
        <w:t>Record any event-specific declarations, eligibility requirements or mandatory conditions that appear at this stage.</w:t>
      </w:r>
    </w:p>
    <w:p>
      <w:pPr>
        <w:pStyle w:val="Heading1"/>
      </w:pPr>
      <w:r>
        <w:t>7. Submit Response Page: Standard Structure</w:t>
      </w:r>
    </w:p>
    <w:p>
      <w:r>
        <w:rPr>
          <w:b/>
        </w:rPr>
        <w:t xml:space="preserve">Reference event observed: </w:t>
      </w:r>
      <w:r>
        <w:t>U6163-277981 – Cloud-Based Mail and Package Management Solution (used as a workflow example).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Observed 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Typical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Section I: Technical Offer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 the technical response and attach the requested technical document.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Section II: Financial Offer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 pricing/basis of payment and attach the requested financial document.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3.3.1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Offer Submission Form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Complete, sign/authorize as required, and attach.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3.3.2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Offeror Declaration Form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 and attach.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3.4.1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Additional Information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Complete/attach if required by the solicitation.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Additional Documentation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Attach only where required or appropriate under the solicitation.</w:t>
            </w:r>
          </w:p>
        </w:tc>
      </w:tr>
    </w:tbl>
    <w:p>
      <w:pPr>
        <w:pStyle w:val="Heading1"/>
      </w:pPr>
      <w:r>
        <w:t>8. Preparing the Technical Offer</w:t>
      </w:r>
    </w:p>
    <w:p>
      <w:pPr>
        <w:pStyle w:val="ListBullet"/>
        <w:spacing w:after="40"/>
      </w:pPr>
      <w:r>
        <w:t>Read the Statement of Work before drafting.</w:t>
      </w:r>
    </w:p>
    <w:p>
      <w:pPr>
        <w:pStyle w:val="ListBullet"/>
        <w:spacing w:after="40"/>
      </w:pPr>
      <w:r>
        <w:t>Extract every mandatory technical criterion.</w:t>
      </w:r>
    </w:p>
    <w:p>
      <w:pPr>
        <w:pStyle w:val="ListBullet"/>
        <w:spacing w:after="40"/>
      </w:pPr>
      <w:r>
        <w:t>Extract rated/evaluated criteria separately from mandatory criteria.</w:t>
      </w:r>
    </w:p>
    <w:p>
      <w:pPr>
        <w:pStyle w:val="ListBullet"/>
        <w:spacing w:after="40"/>
      </w:pPr>
      <w:r>
        <w:t>Map each requirement to a specific response section, evidence, capability, deliverable or proposed method.</w:t>
      </w:r>
    </w:p>
    <w:p>
      <w:pPr>
        <w:pStyle w:val="ListBullet"/>
        <w:spacing w:after="40"/>
      </w:pPr>
      <w:r>
        <w:t>Address how the requirement will be met; do not merely copy the requirement text.</w:t>
      </w:r>
    </w:p>
    <w:p>
      <w:pPr>
        <w:pStyle w:val="ListBullet"/>
        <w:spacing w:after="40"/>
      </w:pPr>
      <w:r>
        <w:t>Identify assumptions, dependencies, interfaces, service levels, implementation responsibilities and support requirements.</w:t>
      </w:r>
    </w:p>
    <w:p>
      <w:pPr>
        <w:pStyle w:val="ListBullet"/>
        <w:spacing w:after="40"/>
      </w:pPr>
      <w:r>
        <w:t>Check security, privacy, data residency/data handling, supply-chain and subcontractor requirements.</w:t>
      </w:r>
    </w:p>
    <w:p>
      <w:pPr>
        <w:pStyle w:val="ListBullet"/>
        <w:spacing w:after="40"/>
      </w:pPr>
      <w:r>
        <w:t>Use the exact solicitation terminology and numbering where practical.</w:t>
      </w:r>
    </w:p>
    <w:p>
      <w:pPr>
        <w:pStyle w:val="ListBullet"/>
        <w:spacing w:after="40"/>
      </w:pPr>
      <w:r>
        <w:t>Perform a final compliance matrix before uploading the Technical Offer.</w:t>
      </w:r>
    </w:p>
    <w:p>
      <w:pPr>
        <w:pStyle w:val="Heading1"/>
      </w:pPr>
      <w:r>
        <w:t>9. Preparing the Financial Offer</w:t>
      </w:r>
    </w:p>
    <w:p>
      <w:pPr>
        <w:pStyle w:val="ListBullet"/>
        <w:spacing w:after="40"/>
      </w:pPr>
      <w:r>
        <w:t>Use the solicitation's Basis of Payment and pricing instructions.</w:t>
      </w:r>
    </w:p>
    <w:p>
      <w:pPr>
        <w:pStyle w:val="ListBullet"/>
        <w:spacing w:after="40"/>
      </w:pPr>
      <w:r>
        <w:t>Do not invent pricing categories that are not requested.</w:t>
      </w:r>
    </w:p>
    <w:p>
      <w:pPr>
        <w:pStyle w:val="ListBullet"/>
        <w:spacing w:after="40"/>
      </w:pPr>
      <w:r>
        <w:t>Check currency, taxes, optional items, travel/expenses, subscription/licensing terms, implementation costs and support costs where applicable.</w:t>
      </w:r>
    </w:p>
    <w:p>
      <w:pPr>
        <w:pStyle w:val="ListBullet"/>
        <w:spacing w:after="40"/>
      </w:pPr>
      <w:r>
        <w:t>Check whether the solicitation permits assumptions or alternative pricing structures.</w:t>
      </w:r>
    </w:p>
    <w:p>
      <w:pPr>
        <w:pStyle w:val="ListBullet"/>
        <w:spacing w:after="40"/>
      </w:pPr>
      <w:r>
        <w:t>Check whether exchange-rate protection is excluded.</w:t>
      </w:r>
    </w:p>
    <w:p>
      <w:pPr>
        <w:pStyle w:val="ListBullet"/>
        <w:spacing w:after="40"/>
      </w:pPr>
      <w:r>
        <w:t>Ensure the financial offer is consistent with the technical proposal.</w:t>
      </w:r>
    </w:p>
    <w:p>
      <w:pPr>
        <w:pStyle w:val="Heading1"/>
      </w:pPr>
      <w:r>
        <w:t>10. Formal Offer Documents</w:t>
      </w:r>
    </w:p>
    <w:p>
      <w:pPr>
        <w:pStyle w:val="ListBullet"/>
        <w:spacing w:after="40"/>
      </w:pPr>
      <w:r>
        <w:t>Offer Submission Form — complete exactly as instructed.</w:t>
      </w:r>
    </w:p>
    <w:p>
      <w:pPr>
        <w:pStyle w:val="ListBullet"/>
        <w:spacing w:after="40"/>
      </w:pPr>
      <w:r>
        <w:t>Offeror Declaration — complete all applicable declarations truthfully.</w:t>
      </w:r>
    </w:p>
    <w:p>
      <w:pPr>
        <w:pStyle w:val="ListBullet"/>
        <w:spacing w:after="40"/>
      </w:pPr>
      <w:r>
        <w:t>Canadian Content Attestation — complete only when required and only on the basis of the supplier's actual status and evidence.</w:t>
      </w:r>
    </w:p>
    <w:p>
      <w:pPr>
        <w:pStyle w:val="ListBullet"/>
        <w:spacing w:after="40"/>
      </w:pPr>
      <w:r>
        <w:t>SaaS Publisher Authorization/Certification — where the solicitation requires it.</w:t>
      </w:r>
    </w:p>
    <w:p>
      <w:pPr>
        <w:pStyle w:val="ListBullet"/>
        <w:spacing w:after="40"/>
      </w:pPr>
      <w:r>
        <w:t>Supply-chain/security information — where required.</w:t>
      </w:r>
    </w:p>
    <w:p>
      <w:pPr>
        <w:pStyle w:val="ListBullet"/>
        <w:spacing w:after="40"/>
      </w:pPr>
      <w:r>
        <w:t>Any other mandatory forms identified in the RFP.</w:t>
      </w:r>
    </w:p>
    <w:p>
      <w:pPr>
        <w:pStyle w:val="Heading1"/>
      </w:pPr>
      <w:r>
        <w:t>11. Eligibility-First Bid/No-Bid Gate</w:t>
      </w:r>
    </w:p>
    <w:p>
      <w:r>
        <w:rPr>
          <w:b/>
        </w:rPr>
        <w:t xml:space="preserve">This is the most important control to preserve. </w:t>
      </w:r>
      <w:r>
        <w:t>A technically accessible event is not automatically an eligible opportunity.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Supplier eligibility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Is Bhadale IT permitted to submit an offer under this specific solicitation?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Verify the exact solicitation clause.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Geography / place of business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Does it require Canada, a specific province, or an applicable trading partner?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 not assume SAP access overrides this.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Canadian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Is Canadian content/Canadian supplier status required?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Read the applicable attestation and evaluation provisions.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Legal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Are incorporation/registration or place-of-business documents required?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Prepare only factual documents.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Are security clearance, certification, Protected/B information, or other controls required?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 technical security and contract security sections.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Privacy/data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Are Canadian data residency, privacy, or data-handling conditions imposed?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Map actual hosting/subcontractor architecture.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Certifications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Are specific certifications/authorizations mandatory?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Confirm current evidence before bidding.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Financial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Are financial capacity, insurance or other commercial requirements mandatory?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Verify before investing bid effort.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Submission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Are all forms and attachments available and correctly signed?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Run final compliance checklist.</w:t>
            </w:r>
          </w:p>
        </w:tc>
      </w:tr>
    </w:tbl>
    <w:p>
      <w:pPr>
        <w:pStyle w:val="Heading1"/>
      </w:pPr>
      <w:r>
        <w:t>12. Attachment Procedure</w:t>
      </w:r>
    </w:p>
    <w:p>
      <w:pPr>
        <w:pStyle w:val="ListNumber"/>
        <w:spacing w:after="40"/>
      </w:pPr>
      <w:r>
        <w:t>Click the 'Attach a file' link beside the relevant subsection.</w:t>
      </w:r>
    </w:p>
    <w:p>
      <w:pPr>
        <w:pStyle w:val="ListNumber"/>
        <w:spacing w:after="40"/>
      </w:pPr>
      <w:r>
        <w:t>Choose the file from the local computer.</w:t>
      </w:r>
    </w:p>
    <w:p>
      <w:pPr>
        <w:pStyle w:val="ListNumber"/>
        <w:spacing w:after="40"/>
      </w:pPr>
      <w:r>
        <w:t>Select/Open the file.</w:t>
      </w:r>
    </w:p>
    <w:p>
      <w:pPr>
        <w:pStyle w:val="ListNumber"/>
        <w:spacing w:after="40"/>
      </w:pPr>
      <w:r>
        <w:t>Confirm the selected file appears in the attachment window.</w:t>
      </w:r>
    </w:p>
    <w:p>
      <w:pPr>
        <w:pStyle w:val="ListNumber"/>
        <w:spacing w:after="40"/>
      </w:pPr>
      <w:r>
        <w:t>Select OK to attach it.</w:t>
      </w:r>
    </w:p>
    <w:p>
      <w:pPr>
        <w:pStyle w:val="ListNumber"/>
        <w:spacing w:after="40"/>
      </w:pPr>
      <w:r>
        <w:t>If multiple attachments are permitted, use the additional attachment control where available.</w:t>
      </w:r>
    </w:p>
    <w:p>
      <w:pPr>
        <w:pStyle w:val="ListNumber"/>
        <w:spacing w:after="40"/>
      </w:pPr>
      <w:r>
        <w:t>If the additional attachment control is absent, assume the contracting authority may restrict the number of attachments for that section and follow the tender instructions.</w:t>
      </w:r>
    </w:p>
    <w:p>
      <w:pPr>
        <w:pStyle w:val="ListNumber"/>
        <w:spacing w:after="40"/>
      </w:pPr>
      <w:r>
        <w:t>Confirm that every required section has the correct file attached.</w:t>
      </w:r>
    </w:p>
    <w:p>
      <w:pPr>
        <w:pStyle w:val="Heading1"/>
      </w:pPr>
      <w:r>
        <w:t>13. Save Draft and Final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</w:rPr>
              <w:t>Do not submit merely to test the system.</w:t>
            </w:r>
            <w:r>
              <w:br/>
              <w:t>The 'Submit Entire Response' button confirms that the event has reached the response-submission stage, but it should only be used when the bid is complete, eligible, reviewed and authorized for submission.</w:t>
            </w:r>
          </w:p>
        </w:tc>
      </w:tr>
    </w:tbl>
    <w:p>
      <w:pPr>
        <w:pStyle w:val="ListNumber"/>
        <w:spacing w:after="40"/>
      </w:pPr>
      <w:r>
        <w:t>Use 'Save Draft' frequently. CanadaBuys advises that the site does not automatically save entries.</w:t>
      </w:r>
    </w:p>
    <w:p>
      <w:pPr>
        <w:pStyle w:val="ListNumber"/>
        <w:spacing w:after="40"/>
      </w:pPr>
      <w:r>
        <w:t>Review every response field and attachment.</w:t>
      </w:r>
    </w:p>
    <w:p>
      <w:pPr>
        <w:pStyle w:val="ListNumber"/>
        <w:spacing w:after="40"/>
      </w:pPr>
      <w:r>
        <w:t>Confirm the correct supplier/account is being used.</w:t>
      </w:r>
    </w:p>
    <w:p>
      <w:pPr>
        <w:pStyle w:val="ListNumber"/>
        <w:spacing w:after="40"/>
      </w:pPr>
      <w:r>
        <w:t>Confirm all mandatory documents are attached.</w:t>
      </w:r>
    </w:p>
    <w:p>
      <w:pPr>
        <w:pStyle w:val="ListNumber"/>
        <w:spacing w:after="40"/>
      </w:pPr>
      <w:r>
        <w:t>Confirm authorized signatures/declarations are complete.</w:t>
      </w:r>
    </w:p>
    <w:p>
      <w:pPr>
        <w:pStyle w:val="ListNumber"/>
        <w:spacing w:after="40"/>
      </w:pPr>
      <w:r>
        <w:t>Confirm eligibility and mandatory criteria have been checked.</w:t>
      </w:r>
    </w:p>
    <w:p>
      <w:pPr>
        <w:pStyle w:val="ListNumber"/>
        <w:spacing w:after="40"/>
      </w:pPr>
      <w:r>
        <w:t>When ready, select 'Submit Entire Response'.</w:t>
      </w:r>
    </w:p>
    <w:p>
      <w:pPr>
        <w:pStyle w:val="ListNumber"/>
        <w:spacing w:after="40"/>
      </w:pPr>
      <w:r>
        <w:t>Confirm the submission in the SAP confirmation dialog.</w:t>
      </w:r>
    </w:p>
    <w:p>
      <w:pPr>
        <w:pStyle w:val="ListNumber"/>
        <w:spacing w:after="40"/>
      </w:pPr>
      <w:r>
        <w:t>Verify the resulting confirmation/banner and retain evidence of submission.</w:t>
      </w:r>
    </w:p>
    <w:p>
      <w:pPr>
        <w:pStyle w:val="ListNumber"/>
        <w:spacing w:after="40"/>
      </w:pPr>
      <w:r>
        <w:t>Use Response History to preserve the bid record.</w:t>
      </w:r>
    </w:p>
    <w:p>
      <w:pPr>
        <w:pStyle w:val="Heading1"/>
      </w:pPr>
      <w:r>
        <w:t>14. Revisions After Submission</w:t>
      </w:r>
    </w:p>
    <w:p>
      <w:pPr>
        <w:pStyle w:val="ListBullet"/>
        <w:spacing w:after="40"/>
      </w:pPr>
      <w:r>
        <w:t>CanadaBuys documents that a submitted response can be revised up to the event deadline.</w:t>
      </w:r>
    </w:p>
    <w:p>
      <w:pPr>
        <w:pStyle w:val="ListBullet"/>
        <w:spacing w:after="40"/>
      </w:pPr>
      <w:r>
        <w:t>Use 'Revise Response' when changes are necessary.</w:t>
      </w:r>
    </w:p>
    <w:p>
      <w:pPr>
        <w:pStyle w:val="ListBullet"/>
        <w:spacing w:after="40"/>
      </w:pPr>
      <w:r>
        <w:t>Make the required changes.</w:t>
      </w:r>
    </w:p>
    <w:p>
      <w:pPr>
        <w:pStyle w:val="ListBullet"/>
        <w:spacing w:after="40"/>
      </w:pPr>
      <w:r>
        <w:t>Select 'Submit Entire Response' again.</w:t>
      </w:r>
    </w:p>
    <w:p>
      <w:pPr>
        <w:pStyle w:val="ListBullet"/>
        <w:spacing w:after="40"/>
      </w:pPr>
      <w:r>
        <w:t>Keep a record of the final submitted version and deadline.</w:t>
      </w:r>
    </w:p>
    <w:p>
      <w:pPr>
        <w:pStyle w:val="Heading1"/>
      </w:pPr>
      <w:r>
        <w:t>15. Buyer Communication</w:t>
      </w:r>
    </w:p>
    <w:p>
      <w:pPr>
        <w:pStyle w:val="ListBullet"/>
        <w:spacing w:after="40"/>
      </w:pPr>
      <w:r>
        <w:t>Use 'Compose Message' from the response page when the solicitation permits/requests communication through SAP.</w:t>
      </w:r>
    </w:p>
    <w:p>
      <w:pPr>
        <w:pStyle w:val="ListBullet"/>
        <w:spacing w:after="40"/>
      </w:pPr>
      <w:r>
        <w:t>Direct procurement questions through the prescribed Event Messages process.</w:t>
      </w:r>
    </w:p>
    <w:p>
      <w:pPr>
        <w:pStyle w:val="ListBullet"/>
        <w:spacing w:after="40"/>
      </w:pPr>
      <w:r>
        <w:t>Follow the RFP's question deadline; do not assume informal email is acceptable.</w:t>
      </w:r>
    </w:p>
    <w:p>
      <w:pPr>
        <w:pStyle w:val="ListBullet"/>
        <w:spacing w:after="40"/>
      </w:pPr>
      <w:r>
        <w:t>Retain buyer responses because they may become important bid evidence or clarification.</w:t>
      </w:r>
    </w:p>
    <w:p>
      <w:pPr>
        <w:pStyle w:val="Heading1"/>
      </w:pPr>
      <w:r>
        <w:t>16. Discovery Profile: Government of Canada Buyer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EDED"/>
          </w:tcPr>
          <w:p>
            <w:r>
              <w:rPr>
                <w:b/>
              </w:rPr>
              <w:t>Observed public profile</w:t>
            </w:r>
            <w:r>
              <w:br/>
              <w:t>The screenshot reviewed in this exercise showed a public SAP Business Network Discovery Buyer Profile labelled 'Viewer Government of Canada / Gouvernement du Canada', Ottawa ON, Canada, with ANID AN01419954119. It showed a large search-results catalogue and recent Discovery activity.</w:t>
            </w:r>
          </w:p>
        </w:tc>
      </w:tr>
    </w:tbl>
    <w:p>
      <w:pPr>
        <w:pStyle w:val="ListBullet"/>
        <w:spacing w:after="40"/>
      </w:pPr>
      <w:r>
        <w:t>This is a buyer/public Discovery profile, not evidence that Bhadale IT has a 'Viewer' supplier account.</w:t>
      </w:r>
    </w:p>
    <w:p>
      <w:pPr>
        <w:pStyle w:val="ListBullet"/>
        <w:spacing w:after="40"/>
      </w:pPr>
      <w:r>
        <w:t>Do not confuse 'Viewer Government of Canada' shown on the buyer profile with the separate CanadaBuys supplier Viewer Account product.</w:t>
      </w:r>
    </w:p>
    <w:p>
      <w:pPr>
        <w:pStyle w:val="ListBullet"/>
        <w:spacing w:after="40"/>
      </w:pPr>
      <w:r>
        <w:t>The supplier Viewer Account is intended for suppliers who want to view solicitation documents but are not interested in bidding.</w:t>
      </w:r>
    </w:p>
    <w:p>
      <w:pPr>
        <w:pStyle w:val="ListBullet"/>
        <w:spacing w:after="40"/>
      </w:pPr>
      <w:r>
        <w:t>The Bhadale IT exercise reached the actual response page and exposed 'Submit Entire Response', which is consistent with a business/supplier response workflow.</w:t>
      </w:r>
    </w:p>
    <w:p>
      <w:r>
        <w:rPr>
          <w:b/>
        </w:rPr>
        <w:t xml:space="preserve">Discovery profile observed: </w:t>
      </w:r>
      <w:hyperlink r:id="rId9">
        <w:r>
          <w:rPr>
            <w:color w:val="0563C1"/>
            <w:u w:val="single"/>
          </w:rPr>
          <w:t>SAP Business Network Discovery – Government of Canada buyer profile</w:t>
        </w:r>
      </w:hyperlink>
    </w:p>
    <w:p>
      <w:pPr>
        <w:pStyle w:val="Heading1"/>
      </w:pPr>
      <w:r>
        <w:t>17. Opportunity Discovery Strategy for Bhadale IT / QAI</w:t>
      </w:r>
    </w:p>
    <w:p>
      <w:pPr>
        <w:pStyle w:val="ListNumber"/>
        <w:spacing w:after="40"/>
      </w:pPr>
      <w:r>
        <w:t>Search CanadaBuys for current opportunities.</w:t>
      </w:r>
    </w:p>
    <w:p>
      <w:pPr>
        <w:pStyle w:val="ListNumber"/>
        <w:spacing w:after="40"/>
      </w:pPr>
      <w:r>
        <w:t>Prioritize technology areas aligned with Bhadale IT/QAI capabilities: AI, cloud, data and analytics, cybersecurity, software/SaaS, systems engineering, digital twins, simulation/optimization, research and emerging technology.</w:t>
      </w:r>
    </w:p>
    <w:p>
      <w:pPr>
        <w:pStyle w:val="ListNumber"/>
        <w:spacing w:after="40"/>
      </w:pPr>
      <w:r>
        <w:t>Open the official tender notice and determine whether SAP Business Network is used.</w:t>
      </w:r>
    </w:p>
    <w:p>
      <w:pPr>
        <w:pStyle w:val="ListNumber"/>
        <w:spacing w:after="40"/>
      </w:pPr>
      <w:r>
        <w:t>Enter SAP Discovery only after checking the official notice.</w:t>
      </w:r>
    </w:p>
    <w:p>
      <w:pPr>
        <w:pStyle w:val="ListNumber"/>
        <w:spacing w:after="40"/>
      </w:pPr>
      <w:r>
        <w:t>Use the event documents to perform the eligibility-first gate.</w:t>
      </w:r>
    </w:p>
    <w:p>
      <w:pPr>
        <w:pStyle w:val="ListNumber"/>
        <w:spacing w:after="40"/>
      </w:pPr>
      <w:r>
        <w:t>Only after eligibility passes, download and analyse the full RFP/SOW.</w:t>
      </w:r>
    </w:p>
    <w:p>
      <w:pPr>
        <w:pStyle w:val="ListNumber"/>
        <w:spacing w:after="40"/>
      </w:pPr>
      <w:r>
        <w:t>Create a requirement-to-capability matrix.</w:t>
      </w:r>
    </w:p>
    <w:p>
      <w:pPr>
        <w:pStyle w:val="ListNumber"/>
        <w:spacing w:after="40"/>
      </w:pPr>
      <w:r>
        <w:t>Prepare the technical, financial and formal response documents.</w:t>
      </w:r>
    </w:p>
    <w:p>
      <w:pPr>
        <w:pStyle w:val="ListNumber"/>
        <w:spacing w:after="40"/>
      </w:pPr>
      <w:r>
        <w:t>Submit only after internal compliance review and authorization.</w:t>
      </w:r>
    </w:p>
    <w:p>
      <w:pPr>
        <w:pStyle w:val="Heading1"/>
      </w:pPr>
      <w:r>
        <w:t>18. Repeatable Bid Folder Structure</w:t>
      </w:r>
    </w:p>
    <w:p>
      <w:pPr>
        <w:pStyle w:val="ListBullet"/>
      </w:pPr>
      <w:r>
        <w:t>00_Opportunity/</w:t>
      </w:r>
    </w:p>
    <w:p>
      <w:pPr>
        <w:pStyle w:val="ListBullet"/>
      </w:pPr>
      <w:r>
        <w:t>01_Official_Tender_Notice/</w:t>
      </w:r>
    </w:p>
    <w:p>
      <w:pPr>
        <w:pStyle w:val="ListBullet"/>
      </w:pPr>
      <w:r>
        <w:t>02_RFP_SOW_Contract/</w:t>
      </w:r>
    </w:p>
    <w:p>
      <w:pPr>
        <w:pStyle w:val="ListBullet"/>
      </w:pPr>
      <w:r>
        <w:t>03_Eligibility/</w:t>
      </w:r>
    </w:p>
    <w:p>
      <w:pPr>
        <w:pStyle w:val="ListBullet"/>
      </w:pPr>
      <w:r>
        <w:t>04_Mandatory_Criteria/</w:t>
      </w:r>
    </w:p>
    <w:p>
      <w:pPr>
        <w:pStyle w:val="ListBullet"/>
      </w:pPr>
      <w:r>
        <w:t>05_Technical_Offer/</w:t>
      </w:r>
    </w:p>
    <w:p>
      <w:pPr>
        <w:pStyle w:val="ListBullet"/>
      </w:pPr>
      <w:r>
        <w:t>06_Financial_Offer/</w:t>
      </w:r>
    </w:p>
    <w:p>
      <w:pPr>
        <w:pStyle w:val="ListBullet"/>
      </w:pPr>
      <w:r>
        <w:t>07_Forms_Declarations/</w:t>
      </w:r>
    </w:p>
    <w:p>
      <w:pPr>
        <w:pStyle w:val="ListBullet"/>
      </w:pPr>
      <w:r>
        <w:t>08_Security_Privacy/</w:t>
      </w:r>
    </w:p>
    <w:p>
      <w:pPr>
        <w:pStyle w:val="ListBullet"/>
      </w:pPr>
      <w:r>
        <w:t>09_Subcontractors_Supply_Chain/</w:t>
      </w:r>
    </w:p>
    <w:p>
      <w:pPr>
        <w:pStyle w:val="ListBullet"/>
      </w:pPr>
      <w:r>
        <w:t>10_Clarifications_Event_Messages/</w:t>
      </w:r>
    </w:p>
    <w:p>
      <w:pPr>
        <w:pStyle w:val="ListBullet"/>
      </w:pPr>
      <w:r>
        <w:t>11_Submission_Evidence/</w:t>
      </w:r>
    </w:p>
    <w:p>
      <w:pPr>
        <w:pStyle w:val="ListBullet"/>
      </w:pPr>
      <w:r>
        <w:t>12_Revisions/</w:t>
      </w:r>
    </w:p>
    <w:p>
      <w:pPr>
        <w:pStyle w:val="ListBullet"/>
      </w:pPr>
      <w:r>
        <w:t>13_Final_Archive/</w:t>
      </w:r>
    </w:p>
    <w:p>
      <w:pPr>
        <w:pStyle w:val="Heading1"/>
      </w:pPr>
      <w:r>
        <w:t>19. Final Pre-Submission Checklist</w:t>
      </w:r>
    </w:p>
    <w:p>
      <w:pPr>
        <w:spacing w:after="20"/>
      </w:pPr>
      <w:r>
        <w:t>☐ Correct CanadaBuys opportunity and solicitation number</w:t>
      </w:r>
    </w:p>
    <w:p>
      <w:pPr>
        <w:spacing w:after="20"/>
      </w:pPr>
      <w:r>
        <w:t>☐ Current/amended version of all tender documents downloaded</w:t>
      </w:r>
    </w:p>
    <w:p>
      <w:pPr>
        <w:spacing w:after="20"/>
      </w:pPr>
      <w:r>
        <w:t>☐ Closing date/time verified</w:t>
      </w:r>
    </w:p>
    <w:p>
      <w:pPr>
        <w:spacing w:after="20"/>
      </w:pPr>
      <w:r>
        <w:t>☐ Supplier eligibility verified</w:t>
      </w:r>
    </w:p>
    <w:p>
      <w:pPr>
        <w:spacing w:after="20"/>
      </w:pPr>
      <w:r>
        <w:t>☐ Canadian supplier/trading-partner/content requirements checked</w:t>
      </w:r>
    </w:p>
    <w:p>
      <w:pPr>
        <w:spacing w:after="20"/>
      </w:pPr>
      <w:r>
        <w:t>☐ Legal status and place-of-business requirements checked</w:t>
      </w:r>
    </w:p>
    <w:p>
      <w:pPr>
        <w:spacing w:after="20"/>
      </w:pPr>
      <w:r>
        <w:t>☐ Mandatory technical criteria mapped</w:t>
      </w:r>
    </w:p>
    <w:p>
      <w:pPr>
        <w:spacing w:after="20"/>
      </w:pPr>
      <w:r>
        <w:t>☐ Technical Offer completed</w:t>
      </w:r>
    </w:p>
    <w:p>
      <w:pPr>
        <w:spacing w:after="20"/>
      </w:pPr>
      <w:r>
        <w:t>☐ Financial Offer completed</w:t>
      </w:r>
    </w:p>
    <w:p>
      <w:pPr>
        <w:spacing w:after="20"/>
      </w:pPr>
      <w:r>
        <w:t>☐ Offer Submission Form completed</w:t>
      </w:r>
    </w:p>
    <w:p>
      <w:pPr>
        <w:spacing w:after="20"/>
      </w:pPr>
      <w:r>
        <w:t>☐ Offeror Declaration completed</w:t>
      </w:r>
    </w:p>
    <w:p>
      <w:pPr>
        <w:spacing w:after="20"/>
      </w:pPr>
      <w:r>
        <w:t>☐ Additional Information completed where required</w:t>
      </w:r>
    </w:p>
    <w:p>
      <w:pPr>
        <w:spacing w:after="20"/>
      </w:pPr>
      <w:r>
        <w:t>☐ Security/privacy requirements addressed</w:t>
      </w:r>
    </w:p>
    <w:p>
      <w:pPr>
        <w:spacing w:after="20"/>
      </w:pPr>
      <w:r>
        <w:t>☐ Supply-chain/subcontractor information addressed</w:t>
      </w:r>
    </w:p>
    <w:p>
      <w:pPr>
        <w:spacing w:after="20"/>
      </w:pPr>
      <w:r>
        <w:t>☐ Required certifications/authorizations attached</w:t>
      </w:r>
    </w:p>
    <w:p>
      <w:pPr>
        <w:spacing w:after="20"/>
      </w:pPr>
      <w:r>
        <w:t>☐ File names and formats comply with instructions</w:t>
      </w:r>
    </w:p>
    <w:p>
      <w:pPr>
        <w:spacing w:after="20"/>
      </w:pPr>
      <w:r>
        <w:t>☐ All attachments opened and checked</w:t>
      </w:r>
    </w:p>
    <w:p>
      <w:pPr>
        <w:spacing w:after="20"/>
      </w:pPr>
      <w:r>
        <w:t>☐ Save Draft completed</w:t>
      </w:r>
    </w:p>
    <w:p>
      <w:pPr>
        <w:spacing w:after="20"/>
      </w:pPr>
      <w:r>
        <w:t>☐ Authorized representative has approved submission</w:t>
      </w:r>
    </w:p>
    <w:p>
      <w:pPr>
        <w:spacing w:after="20"/>
      </w:pPr>
      <w:r>
        <w:t>☐ Submit Entire Response used only when ready</w:t>
      </w:r>
    </w:p>
    <w:p>
      <w:pPr>
        <w:spacing w:after="20"/>
      </w:pPr>
      <w:r>
        <w:t>☐ Submission confirmation retained</w:t>
      </w:r>
    </w:p>
    <w:p>
      <w:pPr>
        <w:spacing w:after="20"/>
      </w:pPr>
      <w:r>
        <w:t>☐ Response History checked/archived</w:t>
      </w:r>
    </w:p>
    <w:p>
      <w:pPr>
        <w:pStyle w:val="Heading1"/>
      </w:pPr>
      <w:r>
        <w:t>20. Official CanadaBuys References</w:t>
      </w:r>
    </w:p>
    <w:p>
      <w:pPr>
        <w:pStyle w:val="ListBullet"/>
      </w:pPr>
      <w:r>
        <w:t xml:space="preserve">Responding to tender opportunities on SAP Business Network Discovery — </w:t>
      </w:r>
      <w:hyperlink r:id="rId10">
        <w:r>
          <w:rPr>
            <w:color w:val="0563C1"/>
            <w:u w:val="single"/>
          </w:rPr>
          <w:t>https://canadabuys.canada.ca/en/support/responding-tender-opportunities-ariba-discovery</w:t>
        </w:r>
      </w:hyperlink>
    </w:p>
    <w:p>
      <w:pPr>
        <w:pStyle w:val="ListBullet"/>
      </w:pPr>
      <w:r>
        <w:t xml:space="preserve">Registering on and logging in to SAP Business Network: A guide for businesses — </w:t>
      </w:r>
      <w:hyperlink r:id="rId11">
        <w:r>
          <w:rPr>
            <w:color w:val="0563C1"/>
            <w:u w:val="single"/>
          </w:rPr>
          <w:t>https://canadabuys.canada.ca/en/support/registering-sap-ariba-guide-businesses</w:t>
        </w:r>
      </w:hyperlink>
    </w:p>
    <w:p>
      <w:pPr>
        <w:pStyle w:val="ListBullet"/>
      </w:pPr>
      <w:r>
        <w:t xml:space="preserve">Viewing tender opportunities on CanadaBuys — </w:t>
      </w:r>
      <w:hyperlink r:id="rId12">
        <w:r>
          <w:rPr>
            <w:color w:val="0563C1"/>
            <w:u w:val="single"/>
          </w:rPr>
          <w:t>https://canadabuys.canada.ca/en/support/viewing-tender-opportunities</w:t>
        </w:r>
      </w:hyperlink>
    </w:p>
    <w:p>
      <w:pPr>
        <w:pStyle w:val="ListBullet"/>
      </w:pPr>
      <w:r>
        <w:t xml:space="preserve">Registering for an SAP Business Network viewer account — </w:t>
      </w:r>
      <w:hyperlink r:id="rId13">
        <w:r>
          <w:rPr>
            <w:color w:val="0563C1"/>
            <w:u w:val="single"/>
          </w:rPr>
          <w:t>https://canadabuys.canada.ca/en/support/registering-sap-ariba-viewer</w:t>
        </w:r>
      </w:hyperlink>
    </w:p>
    <w:p>
      <w:pPr>
        <w:pStyle w:val="ListBullet"/>
      </w:pPr>
      <w:r>
        <w:t xml:space="preserve">Adding users and assigning roles in your business's SAP Business Network account — </w:t>
      </w:r>
      <w:hyperlink r:id="rId14">
        <w:r>
          <w:rPr>
            <w:color w:val="0563C1"/>
            <w:u w:val="single"/>
          </w:rPr>
          <w:t>https://canadabuys.canada.ca/en/support/adding-users-and-assigning-roles-your-business-sap-business-network-account</w:t>
        </w:r>
      </w:hyperlink>
    </w:p>
    <w:p>
      <w:pPr>
        <w:pStyle w:val="Heading1"/>
      </w:pPr>
      <w:r>
        <w:t>21. Notes from the Reference RFP Exercise</w:t>
      </w:r>
    </w:p>
    <w:p>
      <w:pPr>
        <w:pStyle w:val="ListBullet"/>
        <w:spacing w:after="40"/>
      </w:pPr>
      <w:r>
        <w:t>Reference solicitation: U6163-277981 – Cloud-Based Mail and Package Management Solution.</w:t>
      </w:r>
    </w:p>
    <w:p>
      <w:pPr>
        <w:pStyle w:val="ListBullet"/>
        <w:spacing w:after="40"/>
      </w:pPr>
      <w:r>
        <w:t>The live SAP event displayed an RFP event with event details, owner, currency, commodity and regional information.</w:t>
      </w:r>
    </w:p>
    <w:p>
      <w:pPr>
        <w:pStyle w:val="ListBullet"/>
        <w:spacing w:after="40"/>
      </w:pPr>
      <w:r>
        <w:t>The prerequisite screen contained the standard bidder agreement and acceptance controls.</w:t>
      </w:r>
    </w:p>
    <w:p>
      <w:pPr>
        <w:pStyle w:val="ListBullet"/>
        <w:spacing w:after="40"/>
      </w:pPr>
      <w:r>
        <w:t>The response page displayed the bid-document attachment sections reproduced earlier in this playbook.</w:t>
      </w:r>
    </w:p>
    <w:p>
      <w:pPr>
        <w:pStyle w:val="ListBullet"/>
        <w:spacing w:after="40"/>
      </w:pPr>
      <w:r>
        <w:t>The exercise stopped before submission.</w:t>
      </w:r>
    </w:p>
    <w:p>
      <w:pPr>
        <w:pStyle w:val="ListBullet"/>
        <w:spacing w:after="40"/>
      </w:pPr>
      <w:r>
        <w:t>The reference RFP should not be treated as a standing template for eligibility; each future procurement must be assessed independently.</w:t>
      </w:r>
    </w:p>
    <w:p>
      <w:pPr>
        <w:pStyle w:val="Heading1"/>
      </w:pPr>
      <w:r>
        <w:t>22. Operating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</w:tcPr>
          <w:p>
            <w:r>
              <w:rPr>
                <w:b/>
              </w:rPr>
              <w:t>Access → Eligibility → Capability → Compliance → Submission</w:t>
            </w:r>
            <w:r>
              <w:br/>
              <w:t>Use SAP access to discover and inspect opportunities. Establish eligibility before investing in a full bid. Map the opportunity to actual Bhadale IT/QAI capabilities. Complete every mandatory compliance item. Submit only when the response is complete, authorized and supported by evidence.</w:t>
            </w:r>
          </w:p>
        </w:tc>
      </w:tr>
    </w:tbl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CanadaBuys / SAP Business Network RFP Bid Workflow Playbook — Bhadale IT Pvt. Ltd.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.ariba.com/Discovery.aw/ad/profile?key=AN01419954119" TargetMode="External"/><Relationship Id="rId10" Type="http://schemas.openxmlformats.org/officeDocument/2006/relationships/hyperlink" Target="https://canadabuys.canada.ca/en/support/responding-tender-opportunities-ariba-discovery" TargetMode="External"/><Relationship Id="rId11" Type="http://schemas.openxmlformats.org/officeDocument/2006/relationships/hyperlink" Target="https://canadabuys.canada.ca/en/support/registering-sap-ariba-guide-businesses" TargetMode="External"/><Relationship Id="rId12" Type="http://schemas.openxmlformats.org/officeDocument/2006/relationships/hyperlink" Target="https://canadabuys.canada.ca/en/support/viewing-tender-opportunities" TargetMode="External"/><Relationship Id="rId13" Type="http://schemas.openxmlformats.org/officeDocument/2006/relationships/hyperlink" Target="https://canadabuys.canada.ca/en/support/registering-sap-ariba-viewer" TargetMode="External"/><Relationship Id="rId14" Type="http://schemas.openxmlformats.org/officeDocument/2006/relationships/hyperlink" Target="https://canadabuys.canada.ca/en/support/adding-users-and-assigning-roles-your-business-sap-business-network-account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