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Australian Grants &amp; R&amp;D Funding Specialists</w:t>
      </w:r>
    </w:p>
    <w:p>
      <w:pPr>
        <w:jc w:val="center"/>
      </w:pPr>
      <w:r>
        <w:rPr>
          <w:i/>
        </w:rPr>
        <w:t>Candidate Firms for Bhadale IT / QAI — Sydney &amp; Australia</w:t>
      </w:r>
    </w:p>
    <w:p>
      <w:r>
        <w:t>Candidate comparison of Australian firms identified for grant discovery, grant applications, R&amp;D Tax Incentive work, technical R&amp;D documentation and innovation commercialisation. This is a due-diligence shortlist, not a ranking or endorsement.</w:t>
      </w:r>
    </w:p>
    <w:p>
      <w:pPr>
        <w:pStyle w:val="Heading1"/>
      </w:pPr>
      <w:r>
        <w:t>Pattens Group</w:t>
      </w:r>
    </w:p>
    <w:p>
      <w:r>
        <w:rPr>
          <w:b/>
        </w:rPr>
        <w:t xml:space="preserve">Official website: </w:t>
      </w:r>
      <w:r>
        <w:t>https://pattens.com/</w:t>
      </w:r>
    </w:p>
    <w:p>
      <w:r>
        <w:t>Pattens presents itself as an Australian grants and R&amp;D specialist. Its current material covers government grants, innovation/R&amp;D grants, commercialisation and the R&amp;D Tax Incentive. It states that it has in-house accredited technical experts and IT engineers and offers end-to-end management.</w:t>
      </w:r>
    </w:p>
    <w:p>
      <w:r>
        <w:rPr>
          <w:b/>
        </w:rPr>
        <w:t xml:space="preserve">Potential QAI relevance: </w:t>
      </w:r>
      <w:r>
        <w:t>Potential QAI relevance: broad grant discovery plus technical R&amp;D/TAX expertise. Confirm exact fees, success-fee percentage, minimum fees and engagement scope directly.</w:t>
      </w:r>
    </w:p>
    <w:p>
      <w:r>
        <w:rPr>
          <w:b/>
        </w:rPr>
        <w:t>Useful links:</w:t>
      </w:r>
    </w:p>
    <w:p>
      <w:pPr>
        <w:pStyle w:val="ListBullet"/>
      </w:pPr>
      <w:r>
        <w:t>https://pattens.com/government-grants/</w:t>
      </w:r>
    </w:p>
    <w:p>
      <w:pPr>
        <w:pStyle w:val="ListBullet"/>
      </w:pPr>
      <w:r>
        <w:t>https://pattens.com/government-grants/innovation-and-rd-grants/</w:t>
      </w:r>
    </w:p>
    <w:p>
      <w:pPr>
        <w:pStyle w:val="ListBullet"/>
      </w:pPr>
      <w:r>
        <w:t>https://pattens.com/government-grants/innovation-and-rd-grants/research-and-development-tax-incentive/</w:t>
      </w:r>
    </w:p>
    <w:p>
      <w:pPr>
        <w:pStyle w:val="ListBullet"/>
      </w:pPr>
      <w:r>
        <w:t>https://pattens.com/rd-tax-incentive/calculator/</w:t>
      </w:r>
    </w:p>
    <w:p>
      <w:pPr>
        <w:pStyle w:val="Heading1"/>
      </w:pPr>
      <w:r>
        <w:t>GrantHelper</w:t>
      </w:r>
    </w:p>
    <w:p>
      <w:r>
        <w:rPr>
          <w:b/>
        </w:rPr>
        <w:t xml:space="preserve">Official website: </w:t>
      </w:r>
      <w:r>
        <w:t>https://granthelper.com.au/</w:t>
      </w:r>
    </w:p>
    <w:p>
      <w:r>
        <w:t>GrantHelper focuses on government grant discovery, funding strategy and application coordination/writing. Its current site describes a three-step strategy covering funding potential, grant opportunities and grant applications.</w:t>
      </w:r>
    </w:p>
    <w:p>
      <w:r>
        <w:rPr>
          <w:b/>
        </w:rPr>
        <w:t xml:space="preserve">Potential QAI relevance: </w:t>
      </w:r>
      <w:r>
        <w:t>Potential QAI relevance: grant opportunity hunting and application coordination. Clarify depth in R&amp;D Tax Incentive and technical QAI/quantum work before engaging.</w:t>
      </w:r>
    </w:p>
    <w:p>
      <w:r>
        <w:rPr>
          <w:b/>
        </w:rPr>
        <w:t>Useful links:</w:t>
      </w:r>
    </w:p>
    <w:p>
      <w:pPr>
        <w:pStyle w:val="ListBullet"/>
      </w:pPr>
      <w:r>
        <w:t>https://granthelper.com.au/</w:t>
      </w:r>
    </w:p>
    <w:p>
      <w:pPr>
        <w:pStyle w:val="ListBullet"/>
      </w:pPr>
      <w:r>
        <w:t>https://granthelper.com.au/government-grant-news/</w:t>
      </w:r>
    </w:p>
    <w:p>
      <w:pPr>
        <w:pStyle w:val="Heading1"/>
      </w:pPr>
      <w:r>
        <w:t>Grants Office</w:t>
      </w:r>
    </w:p>
    <w:p>
      <w:r>
        <w:t>The supplied search result identified Grants Office in Sydney as a grants advisory organisation providing grant benchmarking/tracking and related services. Current official service scope and pricing should be independently verified.</w:t>
      </w:r>
    </w:p>
    <w:p>
      <w:r>
        <w:rPr>
          <w:b/>
        </w:rPr>
        <w:t xml:space="preserve">Potential QAI relevance: </w:t>
      </w:r>
      <w:r>
        <w:t>Potential QAI relevance: potentially broader grant intelligence and funding management, subject to verification.</w:t>
      </w:r>
    </w:p>
    <w:p>
      <w:pPr>
        <w:pStyle w:val="Heading1"/>
      </w:pPr>
      <w:r>
        <w:t>Michael Johnson Associates (MJA)</w:t>
      </w:r>
    </w:p>
    <w:p>
      <w:r>
        <w:rPr>
          <w:b/>
        </w:rPr>
        <w:t xml:space="preserve">Official website: </w:t>
      </w:r>
      <w:r>
        <w:t>https://mjassociates.com.au/</w:t>
      </w:r>
    </w:p>
    <w:p>
      <w:r>
        <w:t>MJA specialises in Australian government innovation funding, particularly the R&amp;D Tax Incentive, ESIC and innovation grants. Its current R&amp;D service covers identifying eligible R&amp;D activities/expenditure, preparing claims, internal compliance systems, compliance reviews/audits, Advance/Overseas Findings and grant application support. It specifically discusses software/technology claims.</w:t>
      </w:r>
    </w:p>
    <w:p>
      <w:r>
        <w:rPr>
          <w:b/>
        </w:rPr>
        <w:t xml:space="preserve">Potential QAI relevance: </w:t>
      </w:r>
      <w:r>
        <w:t>Potential QAI relevance: particularly useful for technically defensible R&amp;D Tax Incentive claims, evidence, compliance and potential overseas-R&amp;D questions.</w:t>
      </w:r>
    </w:p>
    <w:p>
      <w:r>
        <w:rPr>
          <w:b/>
        </w:rPr>
        <w:t>Useful links:</w:t>
      </w:r>
    </w:p>
    <w:p>
      <w:pPr>
        <w:pStyle w:val="ListBullet"/>
      </w:pPr>
      <w:r>
        <w:t>https://mjassociates.com.au/</w:t>
      </w:r>
    </w:p>
    <w:p>
      <w:pPr>
        <w:pStyle w:val="ListBullet"/>
      </w:pPr>
      <w:r>
        <w:t>https://mjassociates.com.au/r-and-d-tax-incentives/</w:t>
      </w:r>
    </w:p>
    <w:p>
      <w:pPr>
        <w:pStyle w:val="ListBullet"/>
      </w:pPr>
      <w:r>
        <w:t>https://mjassociates.com.au/proposed-rd-tax-incentive-reforms-open-for-consultation/</w:t>
      </w:r>
    </w:p>
    <w:p>
      <w:pPr>
        <w:pStyle w:val="Heading1"/>
      </w:pPr>
      <w:r>
        <w:t>Capability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Pattens</w:t>
            </w:r>
          </w:p>
        </w:tc>
        <w:tc>
          <w:tcPr>
            <w:tcW w:type="dxa" w:w="1728"/>
          </w:tcPr>
          <w:p>
            <w:r>
              <w:t>GrantHelper</w:t>
            </w:r>
          </w:p>
        </w:tc>
        <w:tc>
          <w:tcPr>
            <w:tcW w:type="dxa" w:w="1728"/>
          </w:tcPr>
          <w:p>
            <w:r>
              <w:t>Grants Office*</w:t>
            </w:r>
          </w:p>
        </w:tc>
        <w:tc>
          <w:tcPr>
            <w:tcW w:type="dxa" w:w="1728"/>
          </w:tcPr>
          <w:p>
            <w:r>
              <w:t>MJA</w:t>
            </w:r>
          </w:p>
        </w:tc>
      </w:tr>
      <w:tr>
        <w:tc>
          <w:tcPr>
            <w:tcW w:type="dxa" w:w="1728"/>
          </w:tcPr>
          <w:p>
            <w:r>
              <w:t>Grant discovery</w:t>
            </w:r>
          </w:p>
        </w:tc>
        <w:tc>
          <w:tcPr>
            <w:tcW w:type="dxa" w:w="1728"/>
          </w:tcPr>
          <w:p>
            <w:r>
              <w:t>Strong stated focus</w:t>
            </w:r>
          </w:p>
        </w:tc>
        <w:tc>
          <w:tcPr>
            <w:tcW w:type="dxa" w:w="1728"/>
          </w:tcPr>
          <w:p>
            <w:r>
              <w:t>Strong stated focus</w:t>
            </w:r>
          </w:p>
        </w:tc>
        <w:tc>
          <w:tcPr>
            <w:tcW w:type="dxa" w:w="1728"/>
          </w:tcPr>
          <w:p>
            <w:r>
              <w:t>Verify</w:t>
            </w:r>
          </w:p>
        </w:tc>
        <w:tc>
          <w:tcPr>
            <w:tcW w:type="dxa" w:w="1728"/>
          </w:tcPr>
          <w:p>
            <w:r>
              <w:t>Yes</w:t>
            </w:r>
          </w:p>
        </w:tc>
      </w:tr>
      <w:tr>
        <w:tc>
          <w:tcPr>
            <w:tcW w:type="dxa" w:w="1728"/>
          </w:tcPr>
          <w:p>
            <w:r>
              <w:t>Grant applications</w:t>
            </w:r>
          </w:p>
        </w:tc>
        <w:tc>
          <w:tcPr>
            <w:tcW w:type="dxa" w:w="1728"/>
          </w:tcPr>
          <w:p>
            <w:r>
              <w:t>Yes</w:t>
            </w:r>
          </w:p>
        </w:tc>
        <w:tc>
          <w:tcPr>
            <w:tcW w:type="dxa" w:w="1728"/>
          </w:tcPr>
          <w:p>
            <w:r>
              <w:t>Strong stated focus</w:t>
            </w:r>
          </w:p>
        </w:tc>
        <w:tc>
          <w:tcPr>
            <w:tcW w:type="dxa" w:w="1728"/>
          </w:tcPr>
          <w:p>
            <w:r>
              <w:t>Verify</w:t>
            </w:r>
          </w:p>
        </w:tc>
        <w:tc>
          <w:tcPr>
            <w:tcW w:type="dxa" w:w="1728"/>
          </w:tcPr>
          <w:p>
            <w:r>
              <w:t>Yes</w:t>
            </w:r>
          </w:p>
        </w:tc>
      </w:tr>
      <w:tr>
        <w:tc>
          <w:tcPr>
            <w:tcW w:type="dxa" w:w="1728"/>
          </w:tcPr>
          <w:p>
            <w:r>
              <w:t>R&amp;D Tax Incentive</w:t>
            </w:r>
          </w:p>
        </w:tc>
        <w:tc>
          <w:tcPr>
            <w:tcW w:type="dxa" w:w="1728"/>
          </w:tcPr>
          <w:p>
            <w:r>
              <w:t>Strong stated focus</w:t>
            </w:r>
          </w:p>
        </w:tc>
        <w:tc>
          <w:tcPr>
            <w:tcW w:type="dxa" w:w="1728"/>
          </w:tcPr>
          <w:p>
            <w:r>
              <w:t>Clarify</w:t>
            </w:r>
          </w:p>
        </w:tc>
        <w:tc>
          <w:tcPr>
            <w:tcW w:type="dxa" w:w="1728"/>
          </w:tcPr>
          <w:p>
            <w:r>
              <w:t>Verify</w:t>
            </w:r>
          </w:p>
        </w:tc>
        <w:tc>
          <w:tcPr>
            <w:tcW w:type="dxa" w:w="1728"/>
          </w:tcPr>
          <w:p>
            <w:r>
              <w:t>Strong stated focus</w:t>
            </w:r>
          </w:p>
        </w:tc>
      </w:tr>
      <w:tr>
        <w:tc>
          <w:tcPr>
            <w:tcW w:type="dxa" w:w="1728"/>
          </w:tcPr>
          <w:p>
            <w:r>
              <w:t>Technical/IT R&amp;D</w:t>
            </w:r>
          </w:p>
        </w:tc>
        <w:tc>
          <w:tcPr>
            <w:tcW w:type="dxa" w:w="1728"/>
          </w:tcPr>
          <w:p>
            <w:r>
              <w:t>In-house technical/IT stated</w:t>
            </w:r>
          </w:p>
        </w:tc>
        <w:tc>
          <w:tcPr>
            <w:tcW w:type="dxa" w:w="1728"/>
          </w:tcPr>
          <w:p>
            <w:r>
              <w:t>Clarify</w:t>
            </w:r>
          </w:p>
        </w:tc>
        <w:tc>
          <w:tcPr>
            <w:tcW w:type="dxa" w:w="1728"/>
          </w:tcPr>
          <w:p>
            <w:r>
              <w:t>Verify</w:t>
            </w:r>
          </w:p>
        </w:tc>
        <w:tc>
          <w:tcPr>
            <w:tcW w:type="dxa" w:w="1728"/>
          </w:tcPr>
          <w:p>
            <w:r>
              <w:t>Strong technology focus stated</w:t>
            </w:r>
          </w:p>
        </w:tc>
      </w:tr>
      <w:tr>
        <w:tc>
          <w:tcPr>
            <w:tcW w:type="dxa" w:w="1728"/>
          </w:tcPr>
          <w:p>
            <w:r>
              <w:t>Agriculture/AgTech</w:t>
            </w:r>
          </w:p>
        </w:tc>
        <w:tc>
          <w:tcPr>
            <w:tcW w:type="dxa" w:w="1728"/>
          </w:tcPr>
          <w:p>
            <w:r>
              <w:t>Relevant coverage</w:t>
            </w:r>
          </w:p>
        </w:tc>
        <w:tc>
          <w:tcPr>
            <w:tcW w:type="dxa" w:w="1728"/>
          </w:tcPr>
          <w:p>
            <w:r>
              <w:t>Sector grants listed</w:t>
            </w:r>
          </w:p>
        </w:tc>
        <w:tc>
          <w:tcPr>
            <w:tcW w:type="dxa" w:w="1728"/>
          </w:tcPr>
          <w:p>
            <w:r>
              <w:t>Verify</w:t>
            </w:r>
          </w:p>
        </w:tc>
        <w:tc>
          <w:tcPr>
            <w:tcW w:type="dxa" w:w="1728"/>
          </w:tcPr>
          <w:p>
            <w:r>
              <w:t>Agriculture listed</w:t>
            </w:r>
          </w:p>
        </w:tc>
      </w:tr>
      <w:tr>
        <w:tc>
          <w:tcPr>
            <w:tcW w:type="dxa" w:w="1728"/>
          </w:tcPr>
          <w:p>
            <w:r>
              <w:t>Quantum/PQC</w:t>
            </w:r>
          </w:p>
        </w:tc>
        <w:tc>
          <w:tcPr>
            <w:tcW w:type="dxa" w:w="1728"/>
          </w:tcPr>
          <w:p>
            <w:r>
              <w:t>Verify directly</w:t>
            </w:r>
          </w:p>
        </w:tc>
        <w:tc>
          <w:tcPr>
            <w:tcW w:type="dxa" w:w="1728"/>
          </w:tcPr>
          <w:p>
            <w:r>
              <w:t>Verify directly</w:t>
            </w:r>
          </w:p>
        </w:tc>
        <w:tc>
          <w:tcPr>
            <w:tcW w:type="dxa" w:w="1728"/>
          </w:tcPr>
          <w:p>
            <w:r>
              <w:t>Verify</w:t>
            </w:r>
          </w:p>
        </w:tc>
        <w:tc>
          <w:tcPr>
            <w:tcW w:type="dxa" w:w="1728"/>
          </w:tcPr>
          <w:p>
            <w:r>
              <w:t>Verify directly</w:t>
            </w:r>
          </w:p>
        </w:tc>
      </w:tr>
      <w:tr>
        <w:tc>
          <w:tcPr>
            <w:tcW w:type="dxa" w:w="1728"/>
          </w:tcPr>
          <w:p>
            <w:r>
              <w:t>Compliance/audit</w:t>
            </w:r>
          </w:p>
        </w:tc>
        <w:tc>
          <w:tcPr>
            <w:tcW w:type="dxa" w:w="1728"/>
          </w:tcPr>
          <w:p>
            <w:r>
              <w:t>R&amp;D compliance stated</w:t>
            </w:r>
          </w:p>
        </w:tc>
        <w:tc>
          <w:tcPr>
            <w:tcW w:type="dxa" w:w="1728"/>
          </w:tcPr>
          <w:p>
            <w:r>
              <w:t>Clarify</w:t>
            </w:r>
          </w:p>
        </w:tc>
        <w:tc>
          <w:tcPr>
            <w:tcW w:type="dxa" w:w="1728"/>
          </w:tcPr>
          <w:p>
            <w:r>
              <w:t>Verify</w:t>
            </w:r>
          </w:p>
        </w:tc>
        <w:tc>
          <w:tcPr>
            <w:tcW w:type="dxa" w:w="1728"/>
          </w:tcPr>
          <w:p>
            <w:r>
              <w:t>Strong stated focus</w:t>
            </w:r>
          </w:p>
        </w:tc>
      </w:tr>
      <w:tr>
        <w:tc>
          <w:tcPr>
            <w:tcW w:type="dxa" w:w="1728"/>
          </w:tcPr>
          <w:p>
            <w:r>
              <w:t>Potential role</w:t>
            </w:r>
          </w:p>
        </w:tc>
        <w:tc>
          <w:tcPr>
            <w:tcW w:type="dxa" w:w="1728"/>
          </w:tcPr>
          <w:p>
            <w:r>
              <w:t>Combined grant + R&amp;D</w:t>
            </w:r>
          </w:p>
        </w:tc>
        <w:tc>
          <w:tcPr>
            <w:tcW w:type="dxa" w:w="1728"/>
          </w:tcPr>
          <w:p>
            <w:r>
              <w:t>Grant hunter/application support</w:t>
            </w:r>
          </w:p>
        </w:tc>
        <w:tc>
          <w:tcPr>
            <w:tcW w:type="dxa" w:w="1728"/>
          </w:tcPr>
          <w:p>
            <w:r>
              <w:t>Grant intelligence—verify</w:t>
            </w:r>
          </w:p>
        </w:tc>
        <w:tc>
          <w:tcPr>
            <w:tcW w:type="dxa" w:w="1728"/>
          </w:tcPr>
          <w:p>
            <w:r>
              <w:t>R&amp;D tax/technical specialist</w:t>
            </w:r>
          </w:p>
        </w:tc>
      </w:tr>
    </w:tbl>
    <w:p>
      <w:r>
        <w:t>* Grants Office details above are based on the supplied search result and should be independently verified.</w:t>
      </w:r>
    </w:p>
    <w:p>
      <w:pPr>
        <w:pStyle w:val="Heading1"/>
      </w:pPr>
      <w:r>
        <w:t>Due-Diligence Questions</w:t>
      </w:r>
    </w:p>
    <w:p>
      <w:pPr>
        <w:pStyle w:val="ListNumber"/>
      </w:pPr>
      <w:r>
        <w:t>Do you support Australian technology startups working in AI, quantum technologies, cybersecurity/PQC, CPS or Digital Twins?</w:t>
      </w:r>
    </w:p>
    <w:p>
      <w:pPr>
        <w:pStyle w:val="ListNumber"/>
      </w:pPr>
      <w:r>
        <w:t>Have you handled software/AI experimental R&amp;D Tax Incentive claims involving technical uncertainty?</w:t>
      </w:r>
    </w:p>
    <w:p>
      <w:pPr>
        <w:pStyle w:val="ListNumber"/>
      </w:pPr>
      <w:r>
        <w:t>Do you have direct AgTech, agriculture, water, drought or regional technology experience?</w:t>
      </w:r>
    </w:p>
    <w:p>
      <w:pPr>
        <w:pStyle w:val="ListNumber"/>
      </w:pPr>
      <w:r>
        <w:t>Can you screen federal, NSW and South Australian opportunities for the same company/project?</w:t>
      </w:r>
    </w:p>
    <w:p>
      <w:pPr>
        <w:pStyle w:val="ListNumber"/>
      </w:pPr>
      <w:r>
        <w:t>Can you support university/research-organisation consortium applications?</w:t>
      </w:r>
    </w:p>
    <w:p>
      <w:pPr>
        <w:pStyle w:val="ListNumber"/>
      </w:pPr>
      <w:r>
        <w:t>How do you distinguish grant funding from the R&amp;D Tax Incentive?</w:t>
      </w:r>
    </w:p>
    <w:p>
      <w:pPr>
        <w:pStyle w:val="ListNumber"/>
      </w:pPr>
      <w:r>
        <w:t>What work is performed by your own technical staff versus subcontractors?</w:t>
      </w:r>
    </w:p>
    <w:p>
      <w:pPr>
        <w:pStyle w:val="ListNumber"/>
      </w:pPr>
      <w:r>
        <w:t>What are your upfront fees, success fees, minimum fees and cancellation terms?</w:t>
      </w:r>
    </w:p>
    <w:p>
      <w:pPr>
        <w:pStyle w:val="ListNumber"/>
      </w:pPr>
      <w:r>
        <w:t>How do you establish technical uncertainty, hypothesis, experiments, observations, evaluation and resulting knowledge for R&amp;D claims?</w:t>
      </w:r>
    </w:p>
    <w:p>
      <w:pPr>
        <w:pStyle w:val="ListNumber"/>
      </w:pPr>
      <w:r>
        <w:t>Can you help establish evidence and record-keeping before R&amp;D work begins?</w:t>
      </w:r>
    </w:p>
    <w:p>
      <w:pPr>
        <w:pStyle w:val="ListNumber"/>
      </w:pPr>
      <w:r>
        <w:t>Can you advise on overseas R&amp;D and Advance/Overseas Findings where relevant?</w:t>
      </w:r>
    </w:p>
    <w:p>
      <w:pPr>
        <w:pStyle w:val="ListNumber"/>
      </w:pPr>
      <w:r>
        <w:t>Who is responsible for the technical and tax accuracy of the final claim?</w:t>
      </w:r>
    </w:p>
    <w:p>
      <w:pPr>
        <w:pStyle w:val="Heading1"/>
      </w:pPr>
      <w:r>
        <w:t>Recommended QAI Engagement Model</w:t>
      </w:r>
    </w:p>
    <w:p>
      <w:pPr>
        <w:pStyle w:val="ListBullet"/>
      </w:pPr>
      <w:r>
        <w:t>Local part-time opportunity liaison: continuously hunts opportunities, maintains the register and develops local contacts.</w:t>
      </w:r>
    </w:p>
    <w:p>
      <w:pPr>
        <w:pStyle w:val="ListBullet"/>
      </w:pPr>
      <w:r>
        <w:t>Grant specialist: selectively engaged for eligibility analysis, consortium strategy and complex applications.</w:t>
      </w:r>
    </w:p>
    <w:p>
      <w:pPr>
        <w:pStyle w:val="ListBullet"/>
      </w:pPr>
      <w:r>
        <w:t>R&amp;D Tax specialist: engaged when an Australian R&amp;D entity and eligible Australian R&amp;D activity/expenditure exist.</w:t>
      </w:r>
    </w:p>
    <w:p>
      <w:pPr>
        <w:pStyle w:val="ListBullet"/>
      </w:pPr>
      <w:r>
        <w:t>University/research partner: provides research capability, facilities, researchers and/or consortium participation.</w:t>
      </w:r>
    </w:p>
    <w:p>
      <w:pPr>
        <w:pStyle w:val="ListBullet"/>
      </w:pPr>
      <w:r>
        <w:t>QAI engineering team: owns technical architecture, experimental design, implementation and engineering evidence.</w:t>
      </w:r>
    </w:p>
    <w:p>
      <w:pPr>
        <w:pStyle w:val="ListBullet"/>
      </w:pPr>
      <w:r>
        <w:t>Australian accountant/tax adviser: confirms entity, tax, expenditure and claim treatment.</w:t>
      </w:r>
    </w:p>
    <w:p>
      <w:pPr>
        <w:pStyle w:val="Heading1"/>
      </w:pPr>
      <w:r>
        <w:t>QAI R&amp;D Evidence Structure</w:t>
      </w:r>
    </w:p>
    <w:p>
      <w:r>
        <w:t>Technical uncertainty → hypothesis → experiment design → classical baseline → simulation → execution → observation/results → evaluation → logical conclusion → new knowledge/improvement → supporting records.</w:t>
      </w:r>
    </w:p>
    <w:p>
      <w:r>
        <w:t>This is an engineering evidence structure, not a claim that every QAI activity will qualify for the Australian R&amp;D Tax Incentive. Eligibility must be assessed against current legislation and official guidance.</w:t>
      </w:r>
    </w:p>
    <w:p>
      <w:pPr>
        <w:pStyle w:val="Heading1"/>
      </w:pPr>
      <w:r>
        <w:t>Important Current R&amp;D Note</w:t>
      </w:r>
    </w:p>
    <w:p>
      <w:r>
        <w:t>MJA reported in September 2026 that proposed R&amp;D Tax Incentive reforms had been released for consultation, including proposed changes to the refundable-offset turnover threshold and supporting R&amp;D activities, with proposed commencement from 1 July 2028. These were proposed reforms, not rules already in force.</w:t>
      </w:r>
    </w:p>
    <w:p>
      <w:r>
        <w:t>Reference: https://mjassociates.com.au/proposed-rd-tax-incentive-reforms-open-for-consultation/</w:t>
      </w:r>
    </w:p>
    <w:p>
      <w:pPr>
        <w:pStyle w:val="Heading1"/>
      </w:pPr>
      <w:r>
        <w:t>Recommended Next Step</w:t>
      </w:r>
    </w:p>
    <w:p>
      <w:r>
        <w:t>Study the Pattens 2026 R&amp;D Tax Incentive Handbook first, then compare Pattens, GrantHelper and MJA using the questions above. A modular model may be economical: local opportunity hunter + specialist grant adviser + R&amp;D Tax specialist when an actual Australian R&amp;D claim exists.</w:t>
      </w:r>
    </w:p>
    <w:p>
      <w:pPr>
        <w:pStyle w:val="Heading1"/>
      </w:pPr>
      <w:r>
        <w:t>Reference Links</w:t>
      </w:r>
    </w:p>
    <w:p>
      <w:r>
        <w:rPr>
          <w:b/>
        </w:rPr>
        <w:t xml:space="preserve">Pattens Group: </w:t>
      </w:r>
      <w:r>
        <w:t>https://pattens.com/</w:t>
      </w:r>
    </w:p>
    <w:p>
      <w:r>
        <w:rPr>
          <w:b/>
        </w:rPr>
        <w:t xml:space="preserve">Pattens Government Grants: </w:t>
      </w:r>
      <w:r>
        <w:t>https://pattens.com/government-grants/</w:t>
      </w:r>
    </w:p>
    <w:p>
      <w:r>
        <w:rPr>
          <w:b/>
        </w:rPr>
        <w:t xml:space="preserve">Pattens R&amp;D Tax Incentive: </w:t>
      </w:r>
      <w:r>
        <w:t>https://pattens.com/government-grants/innovation-and-rd-grants/research-and-development-tax-incentive/</w:t>
      </w:r>
    </w:p>
    <w:p>
      <w:r>
        <w:rPr>
          <w:b/>
        </w:rPr>
        <w:t xml:space="preserve">GrantHelper: </w:t>
      </w:r>
      <w:r>
        <w:t>https://granthelper.com.au/</w:t>
      </w:r>
    </w:p>
    <w:p>
      <w:r>
        <w:rPr>
          <w:b/>
        </w:rPr>
        <w:t xml:space="preserve">GrantHelper Grant News: </w:t>
      </w:r>
      <w:r>
        <w:t>https://granthelper.com.au/government-grant-news/</w:t>
      </w:r>
    </w:p>
    <w:p>
      <w:r>
        <w:rPr>
          <w:b/>
        </w:rPr>
        <w:t xml:space="preserve">Michael Johnson Associates: </w:t>
      </w:r>
      <w:r>
        <w:t>https://mjassociates.com.au/</w:t>
      </w:r>
    </w:p>
    <w:p>
      <w:r>
        <w:rPr>
          <w:b/>
        </w:rPr>
        <w:t xml:space="preserve">MJA R&amp;D Tax Incentive: </w:t>
      </w:r>
      <w:r>
        <w:t>https://mjassociates.com.au/r-and-d-tax-incentives/</w:t>
      </w:r>
    </w:p>
    <w:p>
      <w:r>
        <w:rPr>
          <w:b/>
        </w:rPr>
        <w:t xml:space="preserve">MJA proposed R&amp;D reforms: </w:t>
      </w:r>
      <w:r>
        <w:t>https://mjassociates.com.au/proposed-rd-tax-incentive-reforms-open-for-consultation/</w:t>
      </w:r>
    </w:p>
    <w:p>
      <w:r>
        <w:t>Prepared 29 September 2026. Firm descriptions are based on current official websites where available and on the supplied search result where official verification was not obtained. Verify service scope, pricing, success fees and eligibility directly before engagement.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