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Canadian Grant &amp; Innovation Program Access Roadmap</w:t>
      </w:r>
    </w:p>
    <w:p>
      <w:pPr>
        <w:jc w:val="center"/>
      </w:pPr>
      <w:r>
        <w:rPr>
          <w:i/>
        </w:rPr>
        <w:t>Bhadale IT Canada — Pre-Incorporation &amp; Early Commercialisation Research</w:t>
      </w:r>
    </w:p>
    <w:p>
      <w:r>
        <w:t>Purpose: consolidate the Canadian federal, Ontario and innovation-program resources identified for Bhadale IT's planned Canadian operating presence, with links and recommended timing for research, registration and engagement.</w:t>
      </w:r>
    </w:p>
    <w:p>
      <w:pPr>
        <w:pStyle w:val="Heading1"/>
      </w:pPr>
      <w:r>
        <w:t>1. Business Benefits Finder — First Priority</w:t>
      </w:r>
    </w:p>
    <w:p>
      <w:r>
        <w:t>Website: https://innovation.ised-isde.canada.ca/s/?language=en_CA</w:t>
        <w:br/>
        <w:br/>
        <w:t>Government of Canada discovery tool covering federal, provincial and territorial supports, including grants, tax credits, wage subsidies, research/collaboration opportunities and advisory support.</w:t>
        <w:br/>
        <w:br/>
        <w:t>Recommended action: use before incorporation to build a preliminary Bhadale IT/QAI profile and identify programs; update after the Canadian corporation and CRA information are available.</w:t>
      </w:r>
    </w:p>
    <w:p>
      <w:pPr>
        <w:pStyle w:val="Heading1"/>
      </w:pPr>
      <w:r>
        <w:t>2. Ontario Government Funding / TPON</w:t>
      </w:r>
    </w:p>
    <w:p>
      <w:r>
        <w:t>Website: https://www.ontario.ca/page/get-funding-ontario-government</w:t>
        <w:br/>
        <w:br/>
        <w:t>Transfer Payment Ontario (TPON) is Ontario's platform for organizational registration, finding funding opportunities, submitting applications, tracking applications, reporting and managing approved funding.</w:t>
        <w:br/>
        <w:br/>
        <w:t>Research programs before incorporation. Complete organizational TPON registration after the Ontario corporation and required organizational/CRA information are available.</w:t>
      </w:r>
    </w:p>
    <w:p>
      <w:pPr>
        <w:pStyle w:val="Heading1"/>
      </w:pPr>
      <w:r>
        <w:t>3. Innovative Solutions Canada</w:t>
      </w:r>
    </w:p>
    <w:p>
      <w:r>
        <w:t>Website: https://ised-isde.canada.ca/site/innovative-solutions-canada/en</w:t>
        <w:br/>
        <w:t>Eligibility/process: https://ised-isde.canada.ca/site/innovative-solutions-canada/en/program-eligibility-and-process</w:t>
        <w:br/>
        <w:br/>
        <w:t>Challenge-driven federal innovation program in which government identifies problems and eligible Canadian small businesses propose innovative solutions. Potentially relevant to QAI/CPS because it can connect a government problem to a proof of concept and later prototype/commercialisation pathway.</w:t>
        <w:br/>
        <w:br/>
        <w:t>Canadian incorporation, for-profit status, Canadian R&amp;D and Canadian workforce/executive-presence requirements can apply; review current challenge-specific rules.</w:t>
      </w:r>
    </w:p>
    <w:p>
      <w:pPr>
        <w:pStyle w:val="Heading1"/>
      </w:pPr>
      <w:r>
        <w:t>4. NRC Industrial Research Assistance Program (NRC IRAP)</w:t>
      </w:r>
    </w:p>
    <w:p>
      <w:r>
        <w:t>Program: https://nrc.canada.ca/en/support-technology-innovation/financial-support-technology-innovation</w:t>
        <w:br/>
        <w:t>Advisory services: https://nrc.canada.ca/en/support-technology-innovation/nrc-irap-advisory-services</w:t>
        <w:br/>
        <w:br/>
        <w:t>Potentially strong fit for QAI/CPS technology innovation and commercialisation. Current published requirements include being incorporated, for-profit and operating in Canada, with technology-driven innovation and potential Canadian economic benefit.</w:t>
        <w:br/>
        <w:br/>
        <w:t>Critical Canada–India point: IRAP states that it does not fund work performed outside Canada. Canadian-funded project scope and eligible Canadian R&amp;D therefore need to be separated from the India-based QAI engineering operation.</w:t>
        <w:br/>
        <w:br/>
        <w:t>Recommended action: after establishing Canadian operations, contact IRAP and discuss the company, technology and proposed Canadian project.</w:t>
      </w:r>
    </w:p>
    <w:p>
      <w:pPr>
        <w:pStyle w:val="Heading1"/>
      </w:pPr>
      <w:r>
        <w:t>5. Accelerated Growth Service (AGS)</w:t>
      </w:r>
    </w:p>
    <w:p>
      <w:r>
        <w:t>Website: https://ised-isde.canada.ca/site/accelerated-growth-service/en</w:t>
        <w:br/>
        <w:t>Contact: https://ised-isde.canada.ca/site/accelerated-growth-service/en/contact-us</w:t>
        <w:br/>
        <w:br/>
        <w:t>A government service for helping Canadian businesses navigate support, financing, R&amp;D, market expansion and partnerships. Useful as an ecosystem/navigation channel rather than simply another grant portal.</w:t>
        <w:br/>
        <w:br/>
        <w:t>Recommended action: research now; engage after the Canadian operating profile is established.</w:t>
      </w:r>
    </w:p>
    <w:p>
      <w:pPr>
        <w:pStyle w:val="Heading1"/>
      </w:pPr>
      <w:r>
        <w:t>6. CRA — Business Registration / My Business Account</w:t>
      </w:r>
    </w:p>
    <w:p>
      <w:r>
        <w:t>Website: https://www.canada.ca/en/revenue-agency/services/e-services/digital-services-businesses/register.html</w:t>
        <w:br/>
        <w:br/>
        <w:t>Foundational rather than a grant portal. Establishes/manages the CRA business identity and access to corporate tax, GST/HST, payroll and related services. CRA information is also relevant to several funding systems.</w:t>
        <w:br/>
        <w:br/>
        <w:t>Recommended action: establish as part of the Ownr → corporation → CRA setup.</w:t>
      </w:r>
    </w:p>
    <w:p>
      <w:pPr>
        <w:pStyle w:val="Heading1"/>
      </w:pPr>
      <w:r>
        <w:t>7. Government of Canada Grants and Contributions Online Services (GCOS)</w:t>
      </w:r>
    </w:p>
    <w:p>
      <w:r>
        <w:t>Website: https://www.canada.ca/en/employment-social-development/services/funding/gcos.html</w:t>
        <w:br/>
        <w:t>Registration: https://www.canada.ca/en/employment-social-development/services/funding/gcos/register.html</w:t>
        <w:br/>
        <w:br/>
        <w:t>Federal grants/contributions application and management system used by participating programs. Organizations can apply, track applications, sign agreements, submit documents and manage funded projects.</w:t>
        <w:br/>
        <w:br/>
        <w:t>Recommended action: research now; register after Bhadale IT Canada has the required legal/CRA organizational information.</w:t>
      </w:r>
    </w:p>
    <w:p>
      <w:pPr>
        <w:pStyle w:val="Heading1"/>
      </w:pPr>
      <w:r>
        <w:t>8. SR&amp;ED — Scientific Research and Experimental Development</w:t>
      </w:r>
    </w:p>
    <w:p>
      <w:r>
        <w:t>Program: https://www.canada.ca/en/revenue-agency/services/scientific-research-experimental-development-tax-incentive-program.html</w:t>
        <w:br/>
        <w:t>Eligibility: https://www.canada.ca/en/revenue-agency/services/scientific-research-experimental-development-tax-incentive-program/sred-eligibility.html</w:t>
        <w:br/>
        <w:t>Allowable expenditures: https://www.canada.ca/en/revenue-agency/services/scientific-research-experimental-development-tax-incentive-program/sred-claim/allowable-expenditures.html</w:t>
        <w:br/>
        <w:br/>
        <w:t>Canadian tax incentive for qualifying scientific research and experimental development. Potentially important for qualifying Canadian QAI R&amp;D. Eligible expenditures can include qualifying salaries/wages and other permitted R&amp;D costs, subject to CRA rules.</w:t>
        <w:br/>
        <w:br/>
        <w:t>Important: SR&amp;ED is a tax incentive, not a conventional grant. Location and technical nature of the work matter. Work performed outside Canada generally does not qualify, subject to specific limited exceptions.</w:t>
      </w:r>
    </w:p>
    <w:p>
      <w:pPr>
        <w:pStyle w:val="Heading1"/>
      </w:pPr>
      <w:r>
        <w:t>9. Pre-Incorporation vs Post-Incorporation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/ Resource</w:t>
            </w:r>
          </w:p>
        </w:tc>
        <w:tc>
          <w:tcPr>
            <w:tcW w:type="dxa" w:w="2880"/>
          </w:tcPr>
          <w:p>
            <w:r>
              <w:t>Before Incorporation</w:t>
            </w:r>
          </w:p>
        </w:tc>
        <w:tc>
          <w:tcPr>
            <w:tcW w:type="dxa" w:w="2880"/>
          </w:tcPr>
          <w:p>
            <w:r>
              <w:t>After Incorporation</w:t>
            </w:r>
          </w:p>
        </w:tc>
      </w:tr>
      <w:tr>
        <w:tc>
          <w:tcPr>
            <w:tcW w:type="dxa" w:w="2880"/>
          </w:tcPr>
          <w:p>
            <w:r>
              <w:t>Business Benefits Finder</w:t>
            </w:r>
          </w:p>
        </w:tc>
        <w:tc>
          <w:tcPr>
            <w:tcW w:type="dxa" w:w="2880"/>
          </w:tcPr>
          <w:p>
            <w:r>
              <w:t>Use now; research opportunities and eligibility</w:t>
            </w:r>
          </w:p>
        </w:tc>
        <w:tc>
          <w:tcPr>
            <w:tcW w:type="dxa" w:w="2880"/>
          </w:tcPr>
          <w:p>
            <w:r>
              <w:t>Update with Canadian corporate profile</w:t>
            </w:r>
          </w:p>
        </w:tc>
      </w:tr>
      <w:tr>
        <w:tc>
          <w:tcPr>
            <w:tcW w:type="dxa" w:w="2880"/>
          </w:tcPr>
          <w:p>
            <w:r>
              <w:t>Ontario Funding / TPON</w:t>
            </w:r>
          </w:p>
        </w:tc>
        <w:tc>
          <w:tcPr>
            <w:tcW w:type="dxa" w:w="2880"/>
          </w:tcPr>
          <w:p>
            <w:r>
              <w:t>Research programs and eligibility</w:t>
            </w:r>
          </w:p>
        </w:tc>
        <w:tc>
          <w:tcPr>
            <w:tcW w:type="dxa" w:w="2880"/>
          </w:tcPr>
          <w:p>
            <w:r>
              <w:t>Register organization and apply where eligible</w:t>
            </w:r>
          </w:p>
        </w:tc>
      </w:tr>
      <w:tr>
        <w:tc>
          <w:tcPr>
            <w:tcW w:type="dxa" w:w="2880"/>
          </w:tcPr>
          <w:p>
            <w:r>
              <w:t>Innovative Solutions Canada</w:t>
            </w:r>
          </w:p>
        </w:tc>
        <w:tc>
          <w:tcPr>
            <w:tcW w:type="dxa" w:w="2880"/>
          </w:tcPr>
          <w:p>
            <w:r>
              <w:t>Study challenges and requirements</w:t>
            </w:r>
          </w:p>
        </w:tc>
        <w:tc>
          <w:tcPr>
            <w:tcW w:type="dxa" w:w="2880"/>
          </w:tcPr>
          <w:p>
            <w:r>
              <w:t>Apply when Canadian eligibility/project fit is established</w:t>
            </w:r>
          </w:p>
        </w:tc>
      </w:tr>
      <w:tr>
        <w:tc>
          <w:tcPr>
            <w:tcW w:type="dxa" w:w="2880"/>
          </w:tcPr>
          <w:p>
            <w:r>
              <w:t>NRC IRAP</w:t>
            </w:r>
          </w:p>
        </w:tc>
        <w:tc>
          <w:tcPr>
            <w:tcW w:type="dxa" w:w="2880"/>
          </w:tcPr>
          <w:p>
            <w:r>
              <w:t>Study requirements; prepare project concept</w:t>
            </w:r>
          </w:p>
        </w:tc>
        <w:tc>
          <w:tcPr>
            <w:tcW w:type="dxa" w:w="2880"/>
          </w:tcPr>
          <w:p>
            <w:r>
              <w:t>Contact IRAP and pursue assessment</w:t>
            </w:r>
          </w:p>
        </w:tc>
      </w:tr>
      <w:tr>
        <w:tc>
          <w:tcPr>
            <w:tcW w:type="dxa" w:w="2880"/>
          </w:tcPr>
          <w:p>
            <w:r>
              <w:t>Accelerated Growth Service</w:t>
            </w:r>
          </w:p>
        </w:tc>
        <w:tc>
          <w:tcPr>
            <w:tcW w:type="dxa" w:w="2880"/>
          </w:tcPr>
          <w:p>
            <w:r>
              <w:t>Research service and eligibility</w:t>
            </w:r>
          </w:p>
        </w:tc>
        <w:tc>
          <w:tcPr>
            <w:tcW w:type="dxa" w:w="2880"/>
          </w:tcPr>
          <w:p>
            <w:r>
              <w:t>Engage once Canadian operation is established</w:t>
            </w:r>
          </w:p>
        </w:tc>
      </w:tr>
      <w:tr>
        <w:tc>
          <w:tcPr>
            <w:tcW w:type="dxa" w:w="2880"/>
          </w:tcPr>
          <w:p>
            <w:r>
              <w:t>CRA</w:t>
            </w:r>
          </w:p>
        </w:tc>
        <w:tc>
          <w:tcPr>
            <w:tcW w:type="dxa" w:w="2880"/>
          </w:tcPr>
          <w:p>
            <w:r>
              <w:t>Understand BN/tax requirements</w:t>
            </w:r>
          </w:p>
        </w:tc>
        <w:tc>
          <w:tcPr>
            <w:tcW w:type="dxa" w:w="2880"/>
          </w:tcPr>
          <w:p>
            <w:r>
              <w:t>Register/manage corporation and tax accounts</w:t>
            </w:r>
          </w:p>
        </w:tc>
      </w:tr>
      <w:tr>
        <w:tc>
          <w:tcPr>
            <w:tcW w:type="dxa" w:w="2880"/>
          </w:tcPr>
          <w:p>
            <w:r>
              <w:t>GCOS</w:t>
            </w:r>
          </w:p>
        </w:tc>
        <w:tc>
          <w:tcPr>
            <w:tcW w:type="dxa" w:w="2880"/>
          </w:tcPr>
          <w:p>
            <w:r>
              <w:t>Study relevant federal programs</w:t>
            </w:r>
          </w:p>
        </w:tc>
        <w:tc>
          <w:tcPr>
            <w:tcW w:type="dxa" w:w="2880"/>
          </w:tcPr>
          <w:p>
            <w:r>
              <w:t>Create organizational registration when eligible</w:t>
            </w:r>
          </w:p>
        </w:tc>
      </w:tr>
      <w:tr>
        <w:tc>
          <w:tcPr>
            <w:tcW w:type="dxa" w:w="2880"/>
          </w:tcPr>
          <w:p>
            <w:r>
              <w:t>SR&amp;ED</w:t>
            </w:r>
          </w:p>
        </w:tc>
        <w:tc>
          <w:tcPr>
            <w:tcW w:type="dxa" w:w="2880"/>
          </w:tcPr>
          <w:p>
            <w:r>
              <w:t>Design Canadian R&amp;D structure with rules in mind</w:t>
            </w:r>
          </w:p>
        </w:tc>
        <w:tc>
          <w:tcPr>
            <w:tcW w:type="dxa" w:w="2880"/>
          </w:tcPr>
          <w:p>
            <w:r>
              <w:t>Track eligible Canadian R&amp;D and claim where appropriate</w:t>
            </w:r>
          </w:p>
        </w:tc>
      </w:tr>
    </w:tbl>
    <w:p>
      <w:pPr>
        <w:pStyle w:val="Heading1"/>
      </w:pPr>
      <w:r>
        <w:t>10. Proposed Bhadale IT Canada Funding Architecture</w:t>
      </w:r>
    </w:p>
    <w:p>
      <w:r>
        <w:t>Route A — Canadian company applicant: Bhadale IT Canada → Canadian operations → Canadian R&amp;D/commercialisation project → federal/provincial funding → Canadian validation → commercialisation.</w:t>
      </w:r>
    </w:p>
    <w:p>
      <w:r>
        <w:t>Route B — Canadian research collaboration: Canadian university/research organization as eligible applicant or partner → Bhadale IT Canada as technology/industry partner → defined Canadian research project → eligible Canadian research activities and evidence.</w:t>
      </w:r>
    </w:p>
    <w:p>
      <w:r>
        <w:t>India remains the wider QAI engineering/R&amp;D ecosystem. Canadian funding should not be assumed to pay for India-based work; each program's rules must be applied to the actual project.</w:t>
      </w:r>
    </w:p>
    <w:p>
      <w:pPr>
        <w:pStyle w:val="Heading1"/>
      </w:pPr>
      <w:r>
        <w:t>11. Recommended Next Steps</w:t>
      </w:r>
    </w:p>
    <w:p>
      <w:r>
        <w:t>1. Run the Business Benefits Finder using the planned QAI/CPS business profile.</w:t>
      </w:r>
    </w:p>
    <w:p>
      <w:r>
        <w:t>2. Create a funding opportunity matrix: program, applicant eligibility, Canadian presence, ownership/control, project location, partner requirement, eligible costs, QAI fit and deadline.</w:t>
      </w:r>
    </w:p>
    <w:p>
      <w:r>
        <w:t>3. Research Ontario funding programs and identify those compatible with an early-stage technology company.</w:t>
      </w:r>
    </w:p>
    <w:p>
      <w:r>
        <w:t>4. Review current Innovative Solutions Canada challenges for QAI/CPS-relevant problems.</w:t>
      </w:r>
    </w:p>
    <w:p>
      <w:r>
        <w:t>5. Prepare a Canadian QAI commercialisation/R&amp;D project concept for discussion with NRC IRAP.</w:t>
      </w:r>
    </w:p>
    <w:p>
      <w:r>
        <w:t>6. Research Accelerated Growth Service and Canadian innovation ecosystem connections.</w:t>
      </w:r>
    </w:p>
    <w:p>
      <w:r>
        <w:t>7. Proceed with Ownr incorporation after reviewing the most relevant funding eligibility requirements.</w:t>
      </w:r>
    </w:p>
    <w:p>
      <w:r>
        <w:t>8. After incorporation, establish CRA identity, TPON and GCOS organizational access.</w:t>
      </w:r>
    </w:p>
    <w:p>
      <w:r>
        <w:t>9. Develop Canadian university/research and industry partnership options in parallel.</w:t>
      </w:r>
    </w:p>
    <w:p>
      <w:r>
        <w:t>10. Use SR&amp;ED as a separate Canadian R&amp;D tax-incentive workstream, with professional review before the first claim.</w:t>
      </w:r>
    </w:p>
    <w:p>
      <w:pPr>
        <w:pStyle w:val="Heading1"/>
      </w:pPr>
      <w:r>
        <w:t>12. Planning Principles</w:t>
      </w:r>
    </w:p>
    <w:p>
      <w:pPr>
        <w:pStyle w:val="ListBullet"/>
      </w:pPr>
      <w:r>
        <w:t>Do not register for or pay for every available program; register where a genuine opportunity exists.</w:t>
      </w:r>
    </w:p>
    <w:p>
      <w:pPr>
        <w:pStyle w:val="ListBullet"/>
      </w:pPr>
      <w:r>
        <w:t>Grant portal registration does not guarantee eligibility or funding.</w:t>
      </w:r>
    </w:p>
    <w:p>
      <w:pPr>
        <w:pStyle w:val="ListBullet"/>
      </w:pPr>
      <w:r>
        <w:t>Canadian incorporation should be accompanied by genuine Canadian operations and commercial activity.</w:t>
      </w:r>
    </w:p>
    <w:p>
      <w:pPr>
        <w:pStyle w:val="ListBullet"/>
      </w:pPr>
      <w:r>
        <w:t>Keep Canadian-funded work clearly separated from offshore work where program rules require Canadian performance.</w:t>
      </w:r>
    </w:p>
    <w:p>
      <w:pPr>
        <w:pStyle w:val="ListBullet"/>
      </w:pPr>
      <w:r>
        <w:t>Use Canadian universities/research organizations where their facilities, researchers or eligibility materially strengthen a project.</w:t>
      </w:r>
    </w:p>
    <w:p>
      <w:pPr>
        <w:pStyle w:val="ListBullet"/>
      </w:pPr>
      <w:r>
        <w:t>Treat grant funding as non-dilutive project financing and validation, not guaranteed startup capital.</w:t>
      </w:r>
    </w:p>
    <w:p>
      <w:pPr>
        <w:pStyle w:val="ListBullet"/>
      </w:pPr>
      <w:r>
        <w:t>Treat SR&amp;ED separately from grants because it is a tax incentive with its own eligibility and documentation requirements.</w:t>
      </w:r>
    </w:p>
    <w:p>
      <w:pPr>
        <w:pStyle w:val="ListBullet"/>
      </w:pPr>
      <w:r>
        <w:t>Use the existing QAI Digital Farm MVP as technical evidence and a starting point for Canadian problem-specific projects rather than claiming it is already a fully commercial production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