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BHADALE IT</w:t>
      </w:r>
    </w:p>
    <w:p>
      <w:pPr>
        <w:jc w:val="center"/>
      </w:pPr>
      <w:r>
        <w:rPr>
          <w:b/>
          <w:sz w:val="54"/>
        </w:rPr>
        <w:t>CANADA STRATEGY</w:t>
      </w:r>
    </w:p>
    <w:p>
      <w:pPr>
        <w:jc w:val="center"/>
      </w:pPr>
      <w:r>
        <w:rPr>
          <w:b/>
          <w:sz w:val="32"/>
        </w:rPr>
        <w:t>Grants, Research Collaboration, Investment &amp; Market Entry</w:t>
      </w:r>
    </w:p>
    <w:p>
      <w:pPr>
        <w:jc w:val="center"/>
      </w:pPr>
      <w:r>
        <w:rPr>
          <w:i/>
        </w:rPr>
        <w:t>Working strategy document — September 2026</w:t>
      </w:r>
    </w:p>
    <w:p>
      <w:pPr>
        <w:jc w:val="center"/>
      </w:pPr>
      <w:r>
        <w:rPr>
          <w:b/>
          <w:sz w:val="18"/>
        </w:rPr>
        <w:t>DRAFT — refine as programs, eligibility and market evidence are reviewed</w:t>
      </w:r>
    </w:p>
    <w:p>
      <w:pPr>
        <w:pStyle w:val="Heading1"/>
      </w:pPr>
      <w:r>
        <w:t>1. Strategic Objective</w:t>
      </w:r>
    </w:p>
    <w:p>
      <w:r>
        <w:t>Build a practical Canada pathway for Bhadale IT that starts with research collaboration, procurement and ecosystem relationships, then moves to Canadian incorporation and direct SME funding only when a concrete business case and eligibility pathway justify it.</w:t>
      </w:r>
    </w:p>
    <w:p>
      <w:r>
        <w:t>The strategy is designed around Bhadale IT's AI, Quantum AI (QAI), cybersecurity/PQC, cloud, digital-twin and systems-engineering capabilities. It separates opportunities that an India-based business can pursue through collaboration from programs that require a Canadian incorporated entity.</w:t>
      </w:r>
    </w:p>
    <w:p>
      <w:pPr>
        <w:pStyle w:val="Heading1"/>
      </w:pPr>
      <w:r>
        <w:t>2. Core Financing Logic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Stage</w:t>
            </w:r>
          </w:p>
        </w:tc>
        <w:tc>
          <w:tcPr>
            <w:tcW w:type="dxa" w:w="2520"/>
            <w:shd w:fill="D9EAF7"/>
          </w:tcPr>
          <w:p>
            <w:r>
              <w:rPr>
                <w:b/>
              </w:rPr>
              <w:t>Purpose</w:t>
            </w:r>
          </w:p>
        </w:tc>
        <w:tc>
          <w:tcPr>
            <w:tcW w:type="dxa" w:w="2520"/>
            <w:shd w:fill="D9EAF7"/>
          </w:tcPr>
          <w:p>
            <w:r>
              <w:rPr>
                <w:b/>
              </w:rPr>
              <w:t>Preferred Route</w:t>
            </w:r>
          </w:p>
        </w:tc>
        <w:tc>
          <w:tcPr>
            <w:tcW w:type="dxa" w:w="2520"/>
            <w:shd w:fill="D9EAF7"/>
          </w:tcPr>
          <w:p>
            <w:r>
              <w:rPr>
                <w:b/>
              </w:rPr>
              <w:t>Key Principle</w:t>
            </w:r>
          </w:p>
        </w:tc>
      </w:tr>
      <w:tr>
        <w:tc>
          <w:tcPr>
            <w:tcW w:type="dxa" w:w="2520"/>
          </w:tcPr>
          <w:p>
            <w:r>
              <w:t>1. Self-funded</w:t>
            </w:r>
          </w:p>
        </w:tc>
        <w:tc>
          <w:tcPr>
            <w:tcW w:type="dxa" w:w="2520"/>
          </w:tcPr>
          <w:p>
            <w:r>
              <w:t>Continue QAI/R&amp;D and evidence building</w:t>
            </w:r>
          </w:p>
        </w:tc>
        <w:tc>
          <w:tcPr>
            <w:tcW w:type="dxa" w:w="2520"/>
          </w:tcPr>
          <w:p>
            <w:r>
              <w:t>Existing Bhadale IT resources</w:t>
            </w:r>
          </w:p>
        </w:tc>
        <w:tc>
          <w:tcPr>
            <w:tcW w:type="dxa" w:w="2520"/>
          </w:tcPr>
          <w:p>
            <w:r>
              <w:t>Avoid unnecessary fixed obligations.</w:t>
            </w:r>
          </w:p>
        </w:tc>
      </w:tr>
      <w:tr>
        <w:tc>
          <w:tcPr>
            <w:tcW w:type="dxa" w:w="2520"/>
          </w:tcPr>
          <w:p>
            <w:r>
              <w:t>2. Non-dilutive / collaborative funding</w:t>
            </w:r>
          </w:p>
        </w:tc>
        <w:tc>
          <w:tcPr>
            <w:tcW w:type="dxa" w:w="2520"/>
          </w:tcPr>
          <w:p>
            <w:r>
              <w:t>Fund research and pilots</w:t>
            </w:r>
          </w:p>
        </w:tc>
        <w:tc>
          <w:tcPr>
            <w:tcW w:type="dxa" w:w="2520"/>
          </w:tcPr>
          <w:p>
            <w:r>
              <w:t>University/college collaboration and federal/provincial programs</w:t>
            </w:r>
          </w:p>
        </w:tc>
        <w:tc>
          <w:tcPr>
            <w:tcW w:type="dxa" w:w="2520"/>
          </w:tcPr>
          <w:p>
            <w:r>
              <w:t>Check applicant and partner eligibility first.</w:t>
            </w:r>
          </w:p>
        </w:tc>
      </w:tr>
      <w:tr>
        <w:tc>
          <w:tcPr>
            <w:tcW w:type="dxa" w:w="2520"/>
          </w:tcPr>
          <w:p>
            <w:r>
              <w:t>3. Strategic equity</w:t>
            </w:r>
          </w:p>
        </w:tc>
        <w:tc>
          <w:tcPr>
            <w:tcW w:type="dxa" w:w="2520"/>
          </w:tcPr>
          <w:p>
            <w:r>
              <w:t>Fund commercialization and expansion</w:t>
            </w:r>
          </w:p>
        </w:tc>
        <w:tc>
          <w:tcPr>
            <w:tcW w:type="dxa" w:w="2520"/>
          </w:tcPr>
          <w:p>
            <w:r>
              <w:t>Angel/VC/strategic technology investors</w:t>
            </w:r>
          </w:p>
        </w:tc>
        <w:tc>
          <w:tcPr>
            <w:tcW w:type="dxa" w:w="2520"/>
          </w:tcPr>
          <w:p>
            <w:r>
              <w:t>Use evidence-based valuation and clear IP/share structure.</w:t>
            </w:r>
          </w:p>
        </w:tc>
      </w:tr>
      <w:tr>
        <w:tc>
          <w:tcPr>
            <w:tcW w:type="dxa" w:w="2520"/>
          </w:tcPr>
          <w:p>
            <w:r>
              <w:t>4. Debt</w:t>
            </w:r>
          </w:p>
        </w:tc>
        <w:tc>
          <w:tcPr>
            <w:tcW w:type="dxa" w:w="2520"/>
          </w:tcPr>
          <w:p>
            <w:r>
              <w:t>Fund predictable cash-flow activity</w:t>
            </w:r>
          </w:p>
        </w:tc>
        <w:tc>
          <w:tcPr>
            <w:tcW w:type="dxa" w:w="2520"/>
          </w:tcPr>
          <w:p>
            <w:r>
              <w:t>Bank/BDC/other debt when appropriate</w:t>
            </w:r>
          </w:p>
        </w:tc>
        <w:tc>
          <w:tcPr>
            <w:tcW w:type="dxa" w:w="2520"/>
          </w:tcPr>
          <w:p>
            <w:r>
              <w:t>Use only when repayment capacity is demonstrated.</w:t>
            </w:r>
          </w:p>
        </w:tc>
      </w:tr>
    </w:tbl>
    <w:p/>
    <w:p>
      <w:r>
        <w:t>The current working assumption is that conventional Canadian bank borrowing is not the immediate priority. The BDC course remains valuable because its business-planning and financial exercises provide evidence for grants, investors, partnerships and future financing.</w:t>
      </w:r>
    </w:p>
    <w:p>
      <w:pPr>
        <w:pStyle w:val="Heading1"/>
      </w:pPr>
      <w:r>
        <w:t>3. Why Canada is Relevant to Bhadale IT</w:t>
      </w:r>
    </w:p>
    <w:p>
      <w:r>
        <w:t>Canada's National Quantum Strategy (NQS) has three missions: quantum computing and software; quantum communications and post-quantum cryptography; and quantum sensing. The NQS was backed by $360 million and is organized around research, talent and commercialization.</w:t>
      </w:r>
    </w:p>
    <w:p>
      <w:r>
        <w:t>Current 2026 federal activity continues this direction. NSERC's Alliance Quantum call supports university-led projects with private, public or not-for-profit organizations, with grants of C$100,000–C$650,000 per year for up to two years. The 2026 call covers quantum algorithms/encryption including PQC, communications, computing, materials and sensing.</w:t>
      </w:r>
    </w:p>
    <w:p>
      <w:pPr>
        <w:pStyle w:val="Heading1"/>
      </w:pPr>
      <w:r>
        <w:t>4. Two-Track Canada Entry Strategy</w:t>
      </w:r>
    </w:p>
    <w:p>
      <w:pPr>
        <w:pStyle w:val="Heading2"/>
      </w:pPr>
      <w:r>
        <w:t>Track A — Collaboration Before Canadian Incorporation</w:t>
      </w:r>
    </w:p>
    <w:p>
      <w:r>
        <w:t>Use Bhadale IT's current international position to seek Canadian research, university, college, industry and ecosystem partners. Where a program requires a Canadian academic applicant or organization, Bhadale IT can explore participation as an international collaborator or partner, subject to the program rules.</w:t>
      </w:r>
    </w:p>
    <w:p>
      <w:pPr>
        <w:pStyle w:val="ListBullet"/>
      </w:pPr>
      <w:r>
        <w:t>Identify Canadian universities/colleges with AI, quantum, cybersecurity/PQC, digital-twin and systems-engineering research.</w:t>
      </w:r>
    </w:p>
    <w:p>
      <w:pPr>
        <w:pStyle w:val="ListBullet"/>
      </w:pPr>
      <w:r>
        <w:t>Develop concise research concept notes tied to Canadian problems and measurable outcomes.</w:t>
      </w:r>
    </w:p>
    <w:p>
      <w:pPr>
        <w:pStyle w:val="ListBullet"/>
      </w:pPr>
      <w:r>
        <w:t>Map concepts to Canadian economic/social benefits.</w:t>
      </w:r>
    </w:p>
    <w:p>
      <w:pPr>
        <w:pStyle w:val="ListBullet"/>
      </w:pPr>
      <w:r>
        <w:t>Clarify IP, publication, data, security and international-collaboration rules.</w:t>
      </w:r>
    </w:p>
    <w:p>
      <w:pPr>
        <w:pStyle w:val="ListBullet"/>
      </w:pPr>
      <w:r>
        <w:t>Use successful collaboration evidence to strengthen later commercialization and investment pathways.</w:t>
      </w:r>
    </w:p>
    <w:p>
      <w:pPr>
        <w:pStyle w:val="Heading2"/>
      </w:pPr>
      <w:r>
        <w:t>Track B — Canadian Corporation and Direct SME Programs</w:t>
      </w:r>
    </w:p>
    <w:p>
      <w:r>
        <w:t>Create a Canadian corporation only when a target program, customer, investor or commercial opportunity makes the structure worthwhile. Programs such as NRC IRAP have specific Canadian-incorporation and operating requirements, so incorporation should be driven by a verified opportunity.</w:t>
      </w:r>
    </w:p>
    <w:p>
      <w:pPr>
        <w:pStyle w:val="ListBullet"/>
      </w:pPr>
      <w:r>
        <w:t>Select province based on market, research partners, funding programs, immigration/business pathway and operating cost.</w:t>
      </w:r>
    </w:p>
    <w:p>
      <w:pPr>
        <w:pStyle w:val="ListBullet"/>
      </w:pPr>
      <w:r>
        <w:t>Establish the appropriate Canadian corporate, tax and banking structure with professional advice.</w:t>
      </w:r>
    </w:p>
    <w:p>
      <w:pPr>
        <w:pStyle w:val="ListBullet"/>
      </w:pPr>
      <w:r>
        <w:t>Develop financial statements, ownership/share structure and project budgets as required.</w:t>
      </w:r>
    </w:p>
    <w:p>
      <w:pPr>
        <w:pStyle w:val="ListBullet"/>
      </w:pPr>
      <w:r>
        <w:t>Apply only where the Canadian entity meets the program's eligibility rules.</w:t>
      </w:r>
    </w:p>
    <w:p>
      <w:pPr>
        <w:pStyle w:val="ListBullet"/>
      </w:pPr>
      <w:r>
        <w:t>Maintain clear India–Canada IP, contracting, tax and intercompany documentation where applicable.</w:t>
      </w:r>
    </w:p>
    <w:p>
      <w:pPr>
        <w:pStyle w:val="Heading1"/>
      </w:pPr>
      <w:r>
        <w:t>5. Priority Federal Research / Innovation Pathways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Program / Ecosystem</w:t>
            </w:r>
          </w:p>
        </w:tc>
        <w:tc>
          <w:tcPr>
            <w:tcW w:type="dxa" w:w="2520"/>
            <w:shd w:fill="D9EAF7"/>
          </w:tcPr>
          <w:p>
            <w:r>
              <w:rPr>
                <w:b/>
              </w:rPr>
              <w:t>Relevance</w:t>
            </w:r>
          </w:p>
        </w:tc>
        <w:tc>
          <w:tcPr>
            <w:tcW w:type="dxa" w:w="2520"/>
            <w:shd w:fill="D9EAF7"/>
          </w:tcPr>
          <w:p>
            <w:r>
              <w:rPr>
                <w:b/>
              </w:rPr>
              <w:t>Potential Bhadale IT Role</w:t>
            </w:r>
          </w:p>
        </w:tc>
        <w:tc>
          <w:tcPr>
            <w:tcW w:type="dxa" w:w="2520"/>
            <w:shd w:fill="D9EAF7"/>
          </w:tcPr>
          <w:p>
            <w:r>
              <w:rPr>
                <w:b/>
              </w:rPr>
              <w:t>Eligibility Note</w:t>
            </w:r>
          </w:p>
        </w:tc>
      </w:tr>
      <w:tr>
        <w:tc>
          <w:tcPr>
            <w:tcW w:type="dxa" w:w="2520"/>
          </w:tcPr>
          <w:p>
            <w:r>
              <w:t>NSERC Alliance Quantum</w:t>
            </w:r>
          </w:p>
        </w:tc>
        <w:tc>
          <w:tcPr>
            <w:tcW w:type="dxa" w:w="2520"/>
          </w:tcPr>
          <w:p>
            <w:r>
              <w:t>Quantum computing/software, communications/PQC and sensing.</w:t>
            </w:r>
          </w:p>
        </w:tc>
        <w:tc>
          <w:tcPr>
            <w:tcW w:type="dxa" w:w="2520"/>
          </w:tcPr>
          <w:p>
            <w:r>
              <w:t>Research partner/collaborator where permitted; contribute technology, use cases and expertise.</w:t>
            </w:r>
          </w:p>
        </w:tc>
        <w:tc>
          <w:tcPr>
            <w:tcW w:type="dxa" w:w="2520"/>
          </w:tcPr>
          <w:p>
            <w:r>
              <w:t>University is applicant for current call; confirm partner and international-partner rules.</w:t>
            </w:r>
          </w:p>
        </w:tc>
      </w:tr>
      <w:tr>
        <w:tc>
          <w:tcPr>
            <w:tcW w:type="dxa" w:w="2520"/>
          </w:tcPr>
          <w:p>
            <w:r>
              <w:t>NRC CSTIP</w:t>
            </w:r>
          </w:p>
        </w:tc>
        <w:tc>
          <w:tcPr>
            <w:tcW w:type="dxa" w:w="2520"/>
          </w:tcPr>
          <w:p>
            <w:r>
              <w:t>Multi-sector collaborative R&amp;D addressing Canadian priorities.</w:t>
            </w:r>
          </w:p>
        </w:tc>
        <w:tc>
          <w:tcPr>
            <w:tcW w:type="dxa" w:w="2520"/>
          </w:tcPr>
          <w:p>
            <w:r>
              <w:t>Potential collaborator in suitable Canadian-led project.</w:t>
            </w:r>
          </w:p>
        </w:tc>
        <w:tc>
          <w:tcPr>
            <w:tcW w:type="dxa" w:w="2520"/>
          </w:tcPr>
          <w:p>
            <w:r>
              <w:t>Project-specific recipient/partner rules apply.</w:t>
            </w:r>
          </w:p>
        </w:tc>
      </w:tr>
      <w:tr>
        <w:tc>
          <w:tcPr>
            <w:tcW w:type="dxa" w:w="2520"/>
          </w:tcPr>
          <w:p>
            <w:r>
              <w:t>NRC IRAP</w:t>
            </w:r>
          </w:p>
        </w:tc>
        <w:tc>
          <w:tcPr>
            <w:tcW w:type="dxa" w:w="2520"/>
          </w:tcPr>
          <w:p>
            <w:r>
              <w:t>Direct support for eligible Canadian innovative SMEs.</w:t>
            </w:r>
          </w:p>
        </w:tc>
        <w:tc>
          <w:tcPr>
            <w:tcW w:type="dxa" w:w="2520"/>
          </w:tcPr>
          <w:p>
            <w:r>
              <w:t>Potential future route after establishing an eligible Canadian SME.</w:t>
            </w:r>
          </w:p>
        </w:tc>
        <w:tc>
          <w:tcPr>
            <w:tcW w:type="dxa" w:w="2520"/>
          </w:tcPr>
          <w:p>
            <w:r>
              <w:t>Canadian incorporation, for-profit operation and other requirements apply.</w:t>
            </w:r>
          </w:p>
        </w:tc>
      </w:tr>
      <w:tr>
        <w:tc>
          <w:tcPr>
            <w:tcW w:type="dxa" w:w="2520"/>
          </w:tcPr>
          <w:p>
            <w:r>
              <w:t>Global Innovation Clusters</w:t>
            </w:r>
          </w:p>
        </w:tc>
        <w:tc>
          <w:tcPr>
            <w:tcW w:type="dxa" w:w="2520"/>
          </w:tcPr>
          <w:p>
            <w:r>
              <w:t>Collaborative commercialization and innovation; current NQS quantum activity.</w:t>
            </w:r>
          </w:p>
        </w:tc>
        <w:tc>
          <w:tcPr>
            <w:tcW w:type="dxa" w:w="2520"/>
          </w:tcPr>
          <w:p>
            <w:r>
              <w:t>Potential future Canadian SME/partner participant depending on call.</w:t>
            </w:r>
          </w:p>
        </w:tc>
        <w:tc>
          <w:tcPr>
            <w:tcW w:type="dxa" w:w="2520"/>
          </w:tcPr>
          <w:p>
            <w:r>
              <w:t>Membership/project eligibility varies.</w:t>
            </w:r>
          </w:p>
        </w:tc>
      </w:tr>
      <w:tr>
        <w:tc>
          <w:tcPr>
            <w:tcW w:type="dxa" w:w="2520"/>
          </w:tcPr>
          <w:p>
            <w:r>
              <w:t>Innovative Solutions Canada</w:t>
            </w:r>
          </w:p>
        </w:tc>
        <w:tc>
          <w:tcPr>
            <w:tcW w:type="dxa" w:w="2520"/>
          </w:tcPr>
          <w:p>
            <w:r>
              <w:t>Challenge-based government procurement for innovative/pre-commercial solutions.</w:t>
            </w:r>
          </w:p>
        </w:tc>
        <w:tc>
          <w:tcPr>
            <w:tcW w:type="dxa" w:w="2520"/>
          </w:tcPr>
          <w:p>
            <w:r>
              <w:t>Potential future applicant/supplier where requirements are met.</w:t>
            </w:r>
          </w:p>
        </w:tc>
        <w:tc>
          <w:tcPr>
            <w:tcW w:type="dxa" w:w="2520"/>
          </w:tcPr>
          <w:p>
            <w:r>
              <w:t>Each challenge has its own eligibility and contracting rules.</w:t>
            </w:r>
          </w:p>
        </w:tc>
      </w:tr>
    </w:tbl>
    <w:p/>
    <w:p>
      <w:r>
        <w:t>Current evidence indicates active federal investment in quantum commercialization and SME participation. These are ecosystem signals, not a guarantee of funding for Bhadale IT.</w:t>
      </w:r>
    </w:p>
    <w:p>
      <w:pPr>
        <w:pStyle w:val="Heading1"/>
      </w:pPr>
      <w:r>
        <w:t>6. Provincial Screening Framework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Province</w:t>
            </w:r>
          </w:p>
        </w:tc>
        <w:tc>
          <w:tcPr>
            <w:tcW w:type="dxa" w:w="3360"/>
            <w:shd w:fill="D9EAF7"/>
          </w:tcPr>
          <w:p>
            <w:r>
              <w:rPr>
                <w:b/>
              </w:rPr>
              <w:t>Initial Rationale</w:t>
            </w:r>
          </w:p>
        </w:tc>
        <w:tc>
          <w:tcPr>
            <w:tcW w:type="dxa" w:w="3360"/>
            <w:shd w:fill="D9EAF7"/>
          </w:tcPr>
          <w:p>
            <w:r>
              <w:rPr>
                <w:b/>
              </w:rPr>
              <w:t>What We Need to Verify</w:t>
            </w:r>
          </w:p>
        </w:tc>
      </w:tr>
      <w:tr>
        <w:tc>
          <w:tcPr>
            <w:tcW w:type="dxa" w:w="3360"/>
          </w:tcPr>
          <w:p>
            <w:r>
              <w:t>Ontario</w:t>
            </w:r>
          </w:p>
        </w:tc>
        <w:tc>
          <w:tcPr>
            <w:tcW w:type="dxa" w:w="3360"/>
          </w:tcPr>
          <w:p>
            <w:r>
              <w:t>Large AI/quantum ecosystem, universities, procurement and GTA investment network.</w:t>
            </w:r>
          </w:p>
        </w:tc>
        <w:tc>
          <w:tcPr>
            <w:tcW w:type="dxa" w:w="3360"/>
          </w:tcPr>
          <w:p>
            <w:r>
              <w:t>SME grants, AI/quantum programs, R&amp;D incentives, research partners and residency/incorporation rules.</w:t>
            </w:r>
          </w:p>
        </w:tc>
      </w:tr>
      <w:tr>
        <w:tc>
          <w:tcPr>
            <w:tcW w:type="dxa" w:w="3360"/>
          </w:tcPr>
          <w:p>
            <w:r>
              <w:t>British Columbia</w:t>
            </w:r>
          </w:p>
        </w:tc>
        <w:tc>
          <w:tcPr>
            <w:tcW w:type="dxa" w:w="3360"/>
          </w:tcPr>
          <w:p>
            <w:r>
              <w:t>Quantum ecosystem, regional innovation and potential entrepreneur/business pathways.</w:t>
            </w:r>
          </w:p>
        </w:tc>
        <w:tc>
          <w:tcPr>
            <w:tcW w:type="dxa" w:w="3360"/>
          </w:tcPr>
          <w:p>
            <w:r>
              <w:t>Regional-program eligibility, investment requirements, entrepreneur pathway, partners and operating costs.</w:t>
            </w:r>
          </w:p>
        </w:tc>
      </w:tr>
      <w:tr>
        <w:tc>
          <w:tcPr>
            <w:tcW w:type="dxa" w:w="3360"/>
          </w:tcPr>
          <w:p>
            <w:r>
              <w:t>Nova Scotia</w:t>
            </w:r>
          </w:p>
        </w:tc>
        <w:tc>
          <w:tcPr>
            <w:tcW w:type="dxa" w:w="3360"/>
          </w:tcPr>
          <w:p>
            <w:r>
              <w:t>Atlantic innovation ecosystem, universities and potentially lower-cost regional entry.</w:t>
            </w:r>
          </w:p>
        </w:tc>
        <w:tc>
          <w:tcPr>
            <w:tcW w:type="dxa" w:w="3360"/>
          </w:tcPr>
          <w:p>
            <w:r>
              <w:t>Innovation programs, university partners, immigration/business programs and market demand.</w:t>
            </w:r>
          </w:p>
        </w:tc>
      </w:tr>
      <w:tr>
        <w:tc>
          <w:tcPr>
            <w:tcW w:type="dxa" w:w="3360"/>
          </w:tcPr>
          <w:p>
            <w:r>
              <w:t>Alberta</w:t>
            </w:r>
          </w:p>
        </w:tc>
        <w:tc>
          <w:tcPr>
            <w:tcW w:type="dxa" w:w="3360"/>
          </w:tcPr>
          <w:p>
            <w:r>
              <w:t>AI/quantum/energy and industrial applications; Western Canadian market.</w:t>
            </w:r>
          </w:p>
        </w:tc>
        <w:tc>
          <w:tcPr>
            <w:tcW w:type="dxa" w:w="3360"/>
          </w:tcPr>
          <w:p>
            <w:r>
              <w:t>Programs, R&amp;D incentives, university/industry partners and target-sector opportunities.</w:t>
            </w:r>
          </w:p>
        </w:tc>
      </w:tr>
      <w:tr>
        <w:tc>
          <w:tcPr>
            <w:tcW w:type="dxa" w:w="3360"/>
          </w:tcPr>
          <w:p>
            <w:r>
              <w:t>Quebec</w:t>
            </w:r>
          </w:p>
        </w:tc>
        <w:tc>
          <w:tcPr>
            <w:tcW w:type="dxa" w:w="3360"/>
          </w:tcPr>
          <w:p>
            <w:r>
              <w:t>Major quantum research ecosystem and established quantum hubs.</w:t>
            </w:r>
          </w:p>
        </w:tc>
        <w:tc>
          <w:tcPr>
            <w:tcW w:type="dxa" w:w="3360"/>
          </w:tcPr>
          <w:p>
            <w:r>
              <w:t>French-language/business requirements, incorporation, tax, research and commercialization conditions.</w:t>
            </w:r>
          </w:p>
        </w:tc>
      </w:tr>
    </w:tbl>
    <w:p/>
    <w:p>
      <w:r>
        <w:t>Province selection should follow evidence gathering. We should not choose a province solely because a small-business grant exists.</w:t>
      </w:r>
    </w:p>
    <w:p>
      <w:pPr>
        <w:pStyle w:val="Heading1"/>
      </w:pPr>
      <w:r>
        <w:t>7. Bhadale IT Grant Readiness Pack</w:t>
      </w:r>
    </w:p>
    <w:p>
      <w:pPr>
        <w:pStyle w:val="ListNumber"/>
      </w:pPr>
      <w:r>
        <w:t>Master Canada Business Plan — business, market, operations, management and growth strategy.</w:t>
      </w:r>
    </w:p>
    <w:p>
      <w:pPr>
        <w:pStyle w:val="ListNumber"/>
      </w:pPr>
      <w:r>
        <w:t>Technology &amp; Innovation Plan — QAI, AI, cloud, cybersecurity/PQC, digital twins and systems-engineering roadmap.</w:t>
      </w:r>
    </w:p>
    <w:p>
      <w:pPr>
        <w:pStyle w:val="ListNumber"/>
      </w:pPr>
      <w:r>
        <w:t>R&amp;D Project Proposal — problem, research question, methodology, experiments, uncertainty and expected results.</w:t>
      </w:r>
    </w:p>
    <w:p>
      <w:pPr>
        <w:pStyle w:val="ListNumber"/>
      </w:pPr>
      <w:r>
        <w:t>Commercialization Plan — target market, customer, product/service, pricing, sales and scale pathway.</w:t>
      </w:r>
    </w:p>
    <w:p>
      <w:pPr>
        <w:pStyle w:val="ListNumber"/>
      </w:pPr>
      <w:r>
        <w:t>Grant Budget — labour, equipment, cloud, software, research, subcontractors, travel and other eligible costs.</w:t>
      </w:r>
    </w:p>
    <w:p>
      <w:pPr>
        <w:pStyle w:val="ListNumber"/>
      </w:pPr>
      <w:r>
        <w:t>Benefits to Canada — jobs, R&amp;D, commercialization, productivity, exports and strategic technology capability.</w:t>
      </w:r>
    </w:p>
    <w:p>
      <w:pPr>
        <w:pStyle w:val="ListNumber"/>
      </w:pPr>
      <w:r>
        <w:t>IP Plan — background IP, project IP, ownership, licensing and commercialization.</w:t>
      </w:r>
    </w:p>
    <w:p>
      <w:pPr>
        <w:pStyle w:val="ListNumber"/>
      </w:pPr>
      <w:r>
        <w:t>Partner/University Collaboration Plan — roles, facilities, expertise, funding and knowledge mobilization.</w:t>
      </w:r>
    </w:p>
    <w:p>
      <w:pPr>
        <w:pStyle w:val="ListNumber"/>
      </w:pPr>
      <w:r>
        <w:t>Financial Model — revenue, costs, cash flow, funding requirement and contribution/matching assumptions.</w:t>
      </w:r>
    </w:p>
    <w:p>
      <w:pPr>
        <w:pStyle w:val="ListNumber"/>
      </w:pPr>
      <w:r>
        <w:t>Founder and Team Evidence — qualifications, memberships, technical record, IP evidence and relevant project examples.</w:t>
      </w:r>
    </w:p>
    <w:p>
      <w:pPr>
        <w:pStyle w:val="Heading1"/>
      </w:pPr>
      <w:r>
        <w:t>8. Bhadale IT QAI Funding Themes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Theme</w:t>
            </w:r>
          </w:p>
        </w:tc>
        <w:tc>
          <w:tcPr>
            <w:tcW w:type="dxa" w:w="5040"/>
            <w:shd w:fill="D9EAF7"/>
          </w:tcPr>
          <w:p>
            <w:r>
              <w:rPr>
                <w:b/>
              </w:rPr>
              <w:t>Potential Canadian Application</w:t>
            </w:r>
          </w:p>
        </w:tc>
      </w:tr>
      <w:tr>
        <w:tc>
          <w:tcPr>
            <w:tcW w:type="dxa" w:w="5040"/>
          </w:tcPr>
          <w:p>
            <w:r>
              <w:t>QAI / Hybrid Computing</w:t>
            </w:r>
          </w:p>
        </w:tc>
        <w:tc>
          <w:tcPr>
            <w:tcW w:type="dxa" w:w="5040"/>
          </w:tcPr>
          <w:p>
            <w:r>
              <w:t>Quantum-classical optimization, workload orchestration, classical fallback and application feasibility.</w:t>
            </w:r>
          </w:p>
        </w:tc>
      </w:tr>
      <w:tr>
        <w:tc>
          <w:tcPr>
            <w:tcW w:type="dxa" w:w="5040"/>
          </w:tcPr>
          <w:p>
            <w:r>
              <w:t>AI / Agentic AI</w:t>
            </w:r>
          </w:p>
        </w:tc>
        <w:tc>
          <w:tcPr>
            <w:tcW w:type="dxa" w:w="5040"/>
          </w:tcPr>
          <w:p>
            <w:r>
              <w:t>Decision support, intelligent workflow orchestration, AI productivity and enterprise/industry applications.</w:t>
            </w:r>
          </w:p>
        </w:tc>
      </w:tr>
      <w:tr>
        <w:tc>
          <w:tcPr>
            <w:tcW w:type="dxa" w:w="5040"/>
          </w:tcPr>
          <w:p>
            <w:r>
              <w:t>Quantum-safe Cybersecurity</w:t>
            </w:r>
          </w:p>
        </w:tc>
        <w:tc>
          <w:tcPr>
            <w:tcW w:type="dxa" w:w="5040"/>
          </w:tcPr>
          <w:p>
            <w:r>
              <w:t>PQC readiness, crypto inventory, dependency mapping, risk analysis and migration optimization.</w:t>
            </w:r>
          </w:p>
        </w:tc>
      </w:tr>
      <w:tr>
        <w:tc>
          <w:tcPr>
            <w:tcW w:type="dxa" w:w="5040"/>
          </w:tcPr>
          <w:p>
            <w:r>
              <w:t>Digital Twins</w:t>
            </w:r>
          </w:p>
        </w:tc>
        <w:tc>
          <w:tcPr>
            <w:tcW w:type="dxa" w:w="5040"/>
          </w:tcPr>
          <w:p>
            <w:r>
              <w:t>Asset, infrastructure, agriculture, energy, transport and operational decision-support twins.</w:t>
            </w:r>
          </w:p>
        </w:tc>
      </w:tr>
      <w:tr>
        <w:tc>
          <w:tcPr>
            <w:tcW w:type="dxa" w:w="5040"/>
          </w:tcPr>
          <w:p>
            <w:r>
              <w:t>Systems Engineering &amp; Assurance</w:t>
            </w:r>
          </w:p>
        </w:tc>
        <w:tc>
          <w:tcPr>
            <w:tcW w:type="dxa" w:w="5040"/>
          </w:tcPr>
          <w:p>
            <w:r>
              <w:t>Lifecycle decision support, assurance, interoperability, governance and risk management.</w:t>
            </w:r>
          </w:p>
        </w:tc>
      </w:tr>
      <w:tr>
        <w:tc>
          <w:tcPr>
            <w:tcW w:type="dxa" w:w="5040"/>
          </w:tcPr>
          <w:p>
            <w:r>
              <w:t>Agriculture / Digital Farm</w:t>
            </w:r>
          </w:p>
        </w:tc>
        <w:tc>
          <w:tcPr>
            <w:tcW w:type="dxa" w:w="5040"/>
          </w:tcPr>
          <w:p>
            <w:r>
              <w:t>AI/QAI optimization for water, crop, assets, inventory, workforce, economics and resources.</w:t>
            </w:r>
          </w:p>
        </w:tc>
      </w:tr>
      <w:tr>
        <w:tc>
          <w:tcPr>
            <w:tcW w:type="dxa" w:w="5040"/>
          </w:tcPr>
          <w:p>
            <w:r>
              <w:t>Critical Infrastructure</w:t>
            </w:r>
          </w:p>
        </w:tc>
        <w:tc>
          <w:tcPr>
            <w:tcW w:type="dxa" w:w="5040"/>
          </w:tcPr>
          <w:p>
            <w:r>
              <w:t>Resilience, predictive maintenance, scenario modelling and emergency-response decision support.</w:t>
            </w:r>
          </w:p>
        </w:tc>
      </w:tr>
    </w:tbl>
    <w:p/>
    <w:p>
      <w:pPr>
        <w:pStyle w:val="Heading1"/>
      </w:pPr>
      <w:r>
        <w:t>9. Equity Strategy</w:t>
      </w:r>
    </w:p>
    <w:p>
      <w:r>
        <w:t>Strategic equity may be more appropriate than debt when capital is needed to accelerate commercialization of technology and IP rather than finance predictable operating cash flows. Any future share issuance should use a defensible valuation, clear capitalization table, defined investor rights and appropriate Canadian corporate/securities/tax advice.</w:t>
      </w:r>
    </w:p>
    <w:p>
      <w:r>
        <w:t>The previously discussed approximately US$10 million valuation should be treated as an internal working hypothesis unless supported by a formal valuation, comparable transactions, investment offer or other independent evidence. Patent candidates or other IP do not by themselves establish a market valuation.</w:t>
      </w:r>
    </w:p>
    <w:p>
      <w:pPr>
        <w:pStyle w:val="Heading1"/>
      </w:pPr>
      <w:r>
        <w:t>10. Canadian Incorporation Decision Gate</w:t>
      </w:r>
    </w:p>
    <w:p>
      <w:r>
        <w:t>Do not incorporate solely because a grant or course suggests it. First document:</w:t>
      </w:r>
    </w:p>
    <w:p>
      <w:pPr>
        <w:pStyle w:val="ListBullet"/>
      </w:pPr>
      <w:r>
        <w:t>A specific eligible grant or procurement opportunity requiring a Canadian entity.</w:t>
      </w:r>
    </w:p>
    <w:p>
      <w:pPr>
        <w:pStyle w:val="ListBullet"/>
      </w:pPr>
      <w:r>
        <w:t>A credible Canadian customer/partner/research pathway.</w:t>
      </w:r>
    </w:p>
    <w:p>
      <w:pPr>
        <w:pStyle w:val="ListBullet"/>
      </w:pPr>
      <w:r>
        <w:t>A clear province and operating rationale.</w:t>
      </w:r>
    </w:p>
    <w:p>
      <w:pPr>
        <w:pStyle w:val="ListBullet"/>
      </w:pPr>
      <w:r>
        <w:t>Expected incorporation, accounting, tax, banking, insurance and compliance costs.</w:t>
      </w:r>
    </w:p>
    <w:p>
      <w:pPr>
        <w:pStyle w:val="ListBullet"/>
      </w:pPr>
      <w:r>
        <w:t>IP ownership/licensing implications between India and Canada.</w:t>
      </w:r>
    </w:p>
    <w:p>
      <w:pPr>
        <w:pStyle w:val="ListBullet"/>
      </w:pPr>
      <w:r>
        <w:t>Founder immigration/business pathway implications, if relevant.</w:t>
      </w:r>
    </w:p>
    <w:p>
      <w:pPr>
        <w:pStyle w:val="ListBullet"/>
      </w:pPr>
      <w:r>
        <w:t>Expected revenue, funding or strategic benefit sufficient to justify the administrative burden.</w:t>
      </w:r>
    </w:p>
    <w:p>
      <w:pPr>
        <w:pStyle w:val="Heading1"/>
      </w:pPr>
      <w:r>
        <w:t>11. Immigration / Founder Pathway — Separate Workstream</w:t>
      </w:r>
    </w:p>
    <w:p>
      <w:r>
        <w:t>Immigration should be evaluated separately from funding eligibility. Provincial entrepreneur programs, economic immigration and other pathways have their own requirements and can change. A Canadian company does not automatically provide immigration sponsorship.</w:t>
      </w:r>
    </w:p>
    <w:p>
      <w:r>
        <w:t>Working sequence: identify a credible Canadian opportunity → determine corporate structure and province → verify the applicable immigration pathway → obtain professional immigration/tax/legal advice before relying on it.</w:t>
      </w:r>
    </w:p>
    <w:p>
      <w:pPr>
        <w:pStyle w:val="Heading1"/>
      </w:pPr>
      <w:r>
        <w:t>12. 12-Month Working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Period</w:t>
            </w:r>
          </w:p>
        </w:tc>
        <w:tc>
          <w:tcPr>
            <w:tcW w:type="dxa" w:w="3360"/>
            <w:shd w:fill="D9EAF7"/>
          </w:tcPr>
          <w:p>
            <w:r>
              <w:rPr>
                <w:b/>
              </w:rPr>
              <w:t>Priority Activity</w:t>
            </w:r>
          </w:p>
        </w:tc>
        <w:tc>
          <w:tcPr>
            <w:tcW w:type="dxa" w:w="3360"/>
            <w:shd w:fill="D9EAF7"/>
          </w:tcPr>
          <w:p>
            <w:r>
              <w:rPr>
                <w:b/>
              </w:rPr>
              <w:t>Output</w:t>
            </w:r>
          </w:p>
        </w:tc>
      </w:tr>
      <w:tr>
        <w:tc>
          <w:tcPr>
            <w:tcW w:type="dxa" w:w="3360"/>
          </w:tcPr>
          <w:p>
            <w:r>
              <w:t>Months 1–2</w:t>
            </w:r>
          </w:p>
        </w:tc>
        <w:tc>
          <w:tcPr>
            <w:tcW w:type="dxa" w:w="3360"/>
          </w:tcPr>
          <w:p>
            <w:r>
              <w:t>Complete BDC course and extract relevant templates.</w:t>
            </w:r>
          </w:p>
        </w:tc>
        <w:tc>
          <w:tcPr>
            <w:tcW w:type="dxa" w:w="3360"/>
          </w:tcPr>
          <w:p>
            <w:r>
              <w:t>Business-plan evidence base and template library.</w:t>
            </w:r>
          </w:p>
        </w:tc>
      </w:tr>
      <w:tr>
        <w:tc>
          <w:tcPr>
            <w:tcW w:type="dxa" w:w="3360"/>
          </w:tcPr>
          <w:p>
            <w:r>
              <w:t>Months 2–3</w:t>
            </w:r>
          </w:p>
        </w:tc>
        <w:tc>
          <w:tcPr>
            <w:tcW w:type="dxa" w:w="3360"/>
          </w:tcPr>
          <w:p>
            <w:r>
              <w:t>Map Canadian AI/quantum funding and research programs.</w:t>
            </w:r>
          </w:p>
        </w:tc>
        <w:tc>
          <w:tcPr>
            <w:tcW w:type="dxa" w:w="3360"/>
          </w:tcPr>
          <w:p>
            <w:r>
              <w:t>Eligibility matrix and shortlist.</w:t>
            </w:r>
          </w:p>
        </w:tc>
      </w:tr>
      <w:tr>
        <w:tc>
          <w:tcPr>
            <w:tcW w:type="dxa" w:w="3360"/>
          </w:tcPr>
          <w:p>
            <w:r>
              <w:t>Months 2–4</w:t>
            </w:r>
          </w:p>
        </w:tc>
        <w:tc>
          <w:tcPr>
            <w:tcW w:type="dxa" w:w="3360"/>
          </w:tcPr>
          <w:p>
            <w:r>
              <w:t>Identify university/college and industry collaborators.</w:t>
            </w:r>
          </w:p>
        </w:tc>
        <w:tc>
          <w:tcPr>
            <w:tcW w:type="dxa" w:w="3360"/>
          </w:tcPr>
          <w:p>
            <w:r>
              <w:t>Partner pipeline and 2–3 research concepts.</w:t>
            </w:r>
          </w:p>
        </w:tc>
      </w:tr>
      <w:tr>
        <w:tc>
          <w:tcPr>
            <w:tcW w:type="dxa" w:w="3360"/>
          </w:tcPr>
          <w:p>
            <w:r>
              <w:t>Months 3–5</w:t>
            </w:r>
          </w:p>
        </w:tc>
        <w:tc>
          <w:tcPr>
            <w:tcW w:type="dxa" w:w="3360"/>
          </w:tcPr>
          <w:p>
            <w:r>
              <w:t>Prepare grant-ready concepts and budgets.</w:t>
            </w:r>
          </w:p>
        </w:tc>
        <w:tc>
          <w:tcPr>
            <w:tcW w:type="dxa" w:w="3360"/>
          </w:tcPr>
          <w:p>
            <w:r>
              <w:t>R&amp;D concept notes and funding package.</w:t>
            </w:r>
          </w:p>
        </w:tc>
      </w:tr>
      <w:tr>
        <w:tc>
          <w:tcPr>
            <w:tcW w:type="dxa" w:w="3360"/>
          </w:tcPr>
          <w:p>
            <w:r>
              <w:t>Months 4–6</w:t>
            </w:r>
          </w:p>
        </w:tc>
        <w:tc>
          <w:tcPr>
            <w:tcW w:type="dxa" w:w="3360"/>
          </w:tcPr>
          <w:p>
            <w:r>
              <w:t>Evaluate ON/BC/NS/AB/QC pathways.</w:t>
            </w:r>
          </w:p>
        </w:tc>
        <w:tc>
          <w:tcPr>
            <w:tcW w:type="dxa" w:w="3360"/>
          </w:tcPr>
          <w:p>
            <w:r>
              <w:t>Province decision framework.</w:t>
            </w:r>
          </w:p>
        </w:tc>
      </w:tr>
      <w:tr>
        <w:tc>
          <w:tcPr>
            <w:tcW w:type="dxa" w:w="3360"/>
          </w:tcPr>
          <w:p>
            <w:r>
              <w:t>Months 5–8</w:t>
            </w:r>
          </w:p>
        </w:tc>
        <w:tc>
          <w:tcPr>
            <w:tcW w:type="dxa" w:w="3360"/>
          </w:tcPr>
          <w:p>
            <w:r>
              <w:t>Pursue eligible research/procurement/accelerator opportunities.</w:t>
            </w:r>
          </w:p>
        </w:tc>
        <w:tc>
          <w:tcPr>
            <w:tcW w:type="dxa" w:w="3360"/>
          </w:tcPr>
          <w:p>
            <w:r>
              <w:t>Applications, partner discussions and pilots.</w:t>
            </w:r>
          </w:p>
        </w:tc>
      </w:tr>
      <w:tr>
        <w:tc>
          <w:tcPr>
            <w:tcW w:type="dxa" w:w="3360"/>
          </w:tcPr>
          <w:p>
            <w:r>
              <w:t>Months 6–9</w:t>
            </w:r>
          </w:p>
        </w:tc>
        <w:tc>
          <w:tcPr>
            <w:tcW w:type="dxa" w:w="3360"/>
          </w:tcPr>
          <w:p>
            <w:r>
              <w:t>Reassess need for Canadian incorporation.</w:t>
            </w:r>
          </w:p>
        </w:tc>
        <w:tc>
          <w:tcPr>
            <w:tcW w:type="dxa" w:w="3360"/>
          </w:tcPr>
          <w:p>
            <w:r>
              <w:t>Incorporation decision gate.</w:t>
            </w:r>
          </w:p>
        </w:tc>
      </w:tr>
      <w:tr>
        <w:tc>
          <w:tcPr>
            <w:tcW w:type="dxa" w:w="3360"/>
          </w:tcPr>
          <w:p>
            <w:r>
              <w:t>Months 8–12</w:t>
            </w:r>
          </w:p>
        </w:tc>
        <w:tc>
          <w:tcPr>
            <w:tcW w:type="dxa" w:w="3360"/>
          </w:tcPr>
          <w:p>
            <w:r>
              <w:t>If justified, establish entity and direct SME funding pathway.</w:t>
            </w:r>
          </w:p>
        </w:tc>
        <w:tc>
          <w:tcPr>
            <w:tcW w:type="dxa" w:w="3360"/>
          </w:tcPr>
          <w:p>
            <w:r>
              <w:t>Canadian operating/funding setup and investor-ready materials.</w:t>
            </w:r>
          </w:p>
        </w:tc>
      </w:tr>
    </w:tbl>
    <w:p/>
    <w:p>
      <w:pPr>
        <w:pStyle w:val="Heading1"/>
      </w:pPr>
      <w:r>
        <w:t>13. Decision Principles</w:t>
      </w:r>
    </w:p>
    <w:p>
      <w:pPr>
        <w:pStyle w:val="ListBullet"/>
      </w:pPr>
      <w:r>
        <w:t>Eligibility before effort: verify who can apply before preparing a full application.</w:t>
      </w:r>
    </w:p>
    <w:p>
      <w:pPr>
        <w:pStyle w:val="ListBullet"/>
      </w:pPr>
      <w:r>
        <w:t>Evidence before valuation: build technical and commercial evidence before presenting a high valuation.</w:t>
      </w:r>
    </w:p>
    <w:p>
      <w:pPr>
        <w:pStyle w:val="ListBullet"/>
      </w:pPr>
      <w:r>
        <w:t>Partner before incorporation where appropriate.</w:t>
      </w:r>
    </w:p>
    <w:p>
      <w:pPr>
        <w:pStyle w:val="ListBullet"/>
      </w:pPr>
      <w:r>
        <w:t>Grant before debt where a project is genuinely R&amp;D/innovation-led and the program permits it.</w:t>
      </w:r>
    </w:p>
    <w:p>
      <w:pPr>
        <w:pStyle w:val="ListBullet"/>
      </w:pPr>
      <w:r>
        <w:t>Equity for scale: consider strategic equity when capital is needed for commercialization and growth.</w:t>
      </w:r>
    </w:p>
    <w:p>
      <w:pPr>
        <w:pStyle w:val="ListBullet"/>
      </w:pPr>
      <w:r>
        <w:t>Procurement as evidence: pursue appropriately sized pilots that can generate Canadian customer and performance evidence.</w:t>
      </w:r>
    </w:p>
    <w:p>
      <w:pPr>
        <w:pStyle w:val="ListBullet"/>
      </w:pPr>
      <w:r>
        <w:t>Do not overstate: distinguish existing capability, R&amp;D, prototype, commercial delivery and future plans.</w:t>
      </w:r>
    </w:p>
    <w:p>
      <w:pPr>
        <w:pStyle w:val="Heading1"/>
      </w:pPr>
      <w:r>
        <w:t>14. Current Evidence Sources</w:t>
      </w:r>
    </w:p>
    <w:p>
      <w:pPr>
        <w:pStyle w:val="ListBullet"/>
      </w:pPr>
      <w:r>
        <w:t>NSERC Alliance Quantum — 2026 call: https://nserc-crsng.canada.ca/en/funding-opportunity/alliance-quantum-grants-call-proposals-advancing-development-and-adoption</w:t>
      </w:r>
    </w:p>
    <w:p>
      <w:pPr>
        <w:pStyle w:val="ListBullet"/>
      </w:pPr>
      <w:r>
        <w:t>NSERC Alliance Quantum announcement, April 2026: https://nserc-crsng.canada.ca/en/news/new-funding-available-nsercs-alliance-quantum-grants</w:t>
      </w:r>
    </w:p>
    <w:p>
      <w:pPr>
        <w:pStyle w:val="ListBullet"/>
      </w:pPr>
      <w:r>
        <w:t>ISED Global Innovation Clusters: https://ised-isde.canada.ca/site/global-innovation-clusters/en</w:t>
      </w:r>
    </w:p>
    <w:p>
      <w:pPr>
        <w:pStyle w:val="ListBullet"/>
      </w:pPr>
      <w:r>
        <w:t>NRC 2026–27 Departmental Plan: https://www.cnrc.canada.ca/node/4460</w:t>
      </w:r>
    </w:p>
    <w:p>
      <w:pPr>
        <w:pStyle w:val="ListBullet"/>
      </w:pPr>
      <w:r>
        <w:t>ISED 2026–27 Departmental Plan: https://www.ised-isde.canada.ca/site/planning-performance-reporting/en/planning-and-performance-reporting/departmental-plans/innovation-science-economic-development-canadas-2026-27-departmental-plan</w:t>
      </w:r>
    </w:p>
    <w:p>
      <w:pPr>
        <w:pStyle w:val="ListBullet"/>
      </w:pPr>
      <w:r>
        <w:t>National Quantum Strategy: https://ised-isde.canada.ca/site/national-quantum-strategy/en</w:t>
      </w:r>
    </w:p>
    <w:p>
      <w:pPr>
        <w:pStyle w:val="Heading1"/>
      </w:pPr>
      <w:r>
        <w:t>15. Important Disclaimer</w:t>
      </w:r>
    </w:p>
    <w:p>
      <w:r>
        <w:t>This is a strategic working document, not legal, immigration, tax, accounting or investment advice. Program eligibility, deadlines, funding amounts and incorporation requirements can change. Verify the current program guide before applying and obtain professional advice where the decision involves Canadian corporate structure, cross-border taxation, securities, immigration or IP ownership.</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Bhadale IT | Canada Strategy | Grants, Research, Investment &amp; Market Entry |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