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Bhadale IT / QAI — Grant &amp; Opportunity Development Operating Model</w:t>
      </w:r>
    </w:p>
    <w:p>
      <w:pPr>
        <w:jc w:val="center"/>
      </w:pPr>
      <w:r>
        <w:rPr>
          <w:i/>
        </w:rPr>
        <w:t>Grant Qualification • Application Quality • Compliance • Local Business &amp; Technology Liaison</w:t>
      </w:r>
    </w:p>
    <w:p>
      <w:r>
        <w:t>Purpose: capture the recent discussion on building a disciplined grant and opportunity development process for Bhadale IT/QAI in Canada and Australia, together with brief expectations for a locally based part-time staff member. The model is intended to reduce wasted applications, improve first-time application quality, and use specialist grant writers/R&amp;D advisers selectively.</w:t>
      </w:r>
    </w:p>
    <w:p>
      <w:pPr>
        <w:pStyle w:val="Heading1"/>
      </w:pPr>
      <w:r>
        <w:t>1. Core Principle — Qualified Opportunities, Not Grant Volume</w:t>
      </w:r>
    </w:p>
    <w:p>
      <w:r>
        <w:t>Large grant databases can contain thousands of programs, but the number of programs that are actually applicable to Bhadale IT/QAI will be much smaller. Every opportunity should therefore pass a qualification process before significant application effort or professional fees are committed.</w:t>
      </w:r>
    </w:p>
    <w:p>
      <w:r>
        <w:t>The objective is not: “find as many grants as possible.”</w:t>
      </w:r>
    </w:p>
    <w:p>
      <w:r>
        <w:t>The objective is: “build a qualified opportunity pipeline where every opportunity has a plausible applicant, project, technology, geography, partner, commercial pathway and compliance position.”</w:t>
      </w:r>
    </w:p>
    <w:p>
      <w:pPr>
        <w:pStyle w:val="Heading1"/>
      </w:pPr>
      <w:r>
        <w:t>2. Why Grant Numbers Reduce After Screening</w:t>
      </w:r>
    </w:p>
    <w:p>
      <w:pPr>
        <w:pStyle w:val="ListBullet"/>
      </w:pPr>
      <w:r>
        <w:t>All grants and funding programs</w:t>
      </w:r>
    </w:p>
    <w:p>
      <w:pPr>
        <w:pStyle w:val="ListBullet"/>
      </w:pPr>
      <w:r>
        <w:t>Government/private source</w:t>
      </w:r>
    </w:p>
    <w:p>
      <w:pPr>
        <w:pStyle w:val="ListBullet"/>
      </w:pPr>
      <w:r>
        <w:t>Business rather than charity/nonprofit eligibility</w:t>
      </w:r>
    </w:p>
    <w:p>
      <w:pPr>
        <w:pStyle w:val="ListBullet"/>
      </w:pPr>
      <w:r>
        <w:t>Correct country and jurisdiction</w:t>
      </w:r>
    </w:p>
    <w:p>
      <w:pPr>
        <w:pStyle w:val="ListBullet"/>
      </w:pPr>
      <w:r>
        <w:t>Company incorporation and registration requirements</w:t>
      </w:r>
    </w:p>
    <w:p>
      <w:pPr>
        <w:pStyle w:val="ListBullet"/>
      </w:pPr>
      <w:r>
        <w:t>State/province/location requirements</w:t>
      </w:r>
    </w:p>
    <w:p>
      <w:pPr>
        <w:pStyle w:val="ListBullet"/>
      </w:pPr>
      <w:r>
        <w:t>Company size, revenue and employee requirements</w:t>
      </w:r>
    </w:p>
    <w:p>
      <w:pPr>
        <w:pStyle w:val="ListBullet"/>
      </w:pPr>
      <w:r>
        <w:t>Sector/domain eligibility</w:t>
      </w:r>
    </w:p>
    <w:p>
      <w:pPr>
        <w:pStyle w:val="ListBullet"/>
      </w:pPr>
      <w:r>
        <w:t>Technology readiness level/project maturity</w:t>
      </w:r>
    </w:p>
    <w:p>
      <w:pPr>
        <w:pStyle w:val="ListBullet"/>
      </w:pPr>
      <w:r>
        <w:t>Eligible activities and expenditure</w:t>
      </w:r>
    </w:p>
    <w:p>
      <w:pPr>
        <w:pStyle w:val="ListBullet"/>
      </w:pPr>
      <w:r>
        <w:t>Co-funding or matching requirements</w:t>
      </w:r>
    </w:p>
    <w:p>
      <w:pPr>
        <w:pStyle w:val="ListBullet"/>
      </w:pPr>
      <w:r>
        <w:t>IP ownership/licensing requirements</w:t>
      </w:r>
    </w:p>
    <w:p>
      <w:pPr>
        <w:pStyle w:val="ListBullet"/>
      </w:pPr>
      <w:r>
        <w:t>University/research/industry partner requirements</w:t>
      </w:r>
    </w:p>
    <w:p>
      <w:pPr>
        <w:pStyle w:val="ListBullet"/>
      </w:pPr>
      <w:r>
        <w:t>Project timing and deadline</w:t>
      </w:r>
    </w:p>
    <w:p>
      <w:pPr>
        <w:pStyle w:val="ListBullet"/>
      </w:pPr>
      <w:r>
        <w:t>Commercialisation and reporting requirements</w:t>
      </w:r>
    </w:p>
    <w:p>
      <w:pPr>
        <w:pStyle w:val="ListBullet"/>
      </w:pPr>
      <w:r>
        <w:t>Actually applicable and strategically worthwhile opportunity</w:t>
      </w:r>
    </w:p>
    <w:p>
      <w:pPr>
        <w:pStyle w:val="Heading1"/>
      </w:pPr>
      <w:r>
        <w:t>3. Broad Search Strategy for Niche QAI Technologies</w:t>
      </w:r>
    </w:p>
    <w:p>
      <w:r>
        <w:t>Because QAI, PQC and Digital Twin technologies are niche, searches should not depend on programs whose titles explicitly contain “Quantum AI”. QAI should be treated as an enabling capability and mapped to the problem and outcome language used by each program.</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Examples</w:t>
            </w:r>
          </w:p>
        </w:tc>
        <w:tc>
          <w:tcPr>
            <w:tcW w:type="dxa" w:w="2880"/>
          </w:tcPr>
          <w:p>
            <w:r>
              <w:t>Funding narrative</w:t>
            </w:r>
          </w:p>
        </w:tc>
      </w:tr>
      <w:tr>
        <w:tc>
          <w:tcPr>
            <w:tcW w:type="dxa" w:w="2880"/>
          </w:tcPr>
          <w:p>
            <w:r>
              <w:t>Technology</w:t>
            </w:r>
          </w:p>
        </w:tc>
        <w:tc>
          <w:tcPr>
            <w:tcW w:type="dxa" w:w="2880"/>
          </w:tcPr>
          <w:p>
            <w:r>
              <w:t>AI, QAI, Quantum, PQC, Cybersecurity, CPS, Digital Twin, Optimisation, Automation, IoT, Edge, HPC</w:t>
            </w:r>
          </w:p>
        </w:tc>
        <w:tc>
          <w:tcPr>
            <w:tcW w:type="dxa" w:w="2880"/>
          </w:tcPr>
          <w:p>
            <w:r>
              <w:t>Critical/advanced technology, digital transformation, secure infrastructure</w:t>
            </w:r>
          </w:p>
        </w:tc>
      </w:tr>
      <w:tr>
        <w:tc>
          <w:tcPr>
            <w:tcW w:type="dxa" w:w="2880"/>
          </w:tcPr>
          <w:p>
            <w:r>
              <w:t>Domains</w:t>
            </w:r>
          </w:p>
        </w:tc>
        <w:tc>
          <w:tcPr>
            <w:tcW w:type="dxa" w:w="2880"/>
          </w:tcPr>
          <w:p>
            <w:r>
              <w:t>Agriculture, Food, Water, Energy, Manufacturing, Logistics, Infrastructure, Government, Cities, Environment</w:t>
            </w:r>
          </w:p>
        </w:tc>
        <w:tc>
          <w:tcPr>
            <w:tcW w:type="dxa" w:w="2880"/>
          </w:tcPr>
          <w:p>
            <w:r>
              <w:t>Sector-specific innovation and productivity</w:t>
            </w:r>
          </w:p>
        </w:tc>
      </w:tr>
      <w:tr>
        <w:tc>
          <w:tcPr>
            <w:tcW w:type="dxa" w:w="2880"/>
          </w:tcPr>
          <w:p>
            <w:r>
              <w:t>Problems</w:t>
            </w:r>
          </w:p>
        </w:tc>
        <w:tc>
          <w:tcPr>
            <w:tcW w:type="dxa" w:w="2880"/>
          </w:tcPr>
          <w:p>
            <w:r>
              <w:t>Productivity, Resilience, Drought, Resource Efficiency, Security, Climate Adaptation, Supply Chain</w:t>
            </w:r>
          </w:p>
        </w:tc>
        <w:tc>
          <w:tcPr>
            <w:tcW w:type="dxa" w:w="2880"/>
          </w:tcPr>
          <w:p>
            <w:r>
              <w:t>Problem/outcome-led funding</w:t>
            </w:r>
          </w:p>
        </w:tc>
      </w:tr>
      <w:tr>
        <w:tc>
          <w:tcPr>
            <w:tcW w:type="dxa" w:w="2880"/>
          </w:tcPr>
          <w:p>
            <w:r>
              <w:t>Economic outcomes</w:t>
            </w:r>
          </w:p>
        </w:tc>
        <w:tc>
          <w:tcPr>
            <w:tcW w:type="dxa" w:w="2880"/>
          </w:tcPr>
          <w:p>
            <w:r>
              <w:t>Innovation, Commercialisation, Employment, Investment, Exports, Regional Development, Sustainability</w:t>
            </w:r>
          </w:p>
        </w:tc>
        <w:tc>
          <w:tcPr>
            <w:tcW w:type="dxa" w:w="2880"/>
          </w:tcPr>
          <w:p>
            <w:r>
              <w:t>Economic-development and commercialisation outcomes</w:t>
            </w:r>
          </w:p>
        </w:tc>
      </w:tr>
    </w:tbl>
    <w:p>
      <w:pPr>
        <w:pStyle w:val="Heading1"/>
      </w:pPr>
      <w:r>
        <w:t>4. First-Application Quality Principle</w:t>
      </w:r>
    </w:p>
    <w:p>
      <w:r>
        <w:t>A grant application should be treated as a high-value project rather than routine form filling. Competitive programs have limited funding and program-specific assessment criteria. A poor first application can waste time, money and an opportunity window. Where program rules permit future applications, the first submission should nevertheless establish a strong evidence base and a professional record.</w:t>
      </w:r>
    </w:p>
    <w:p>
      <w:r>
        <w:t>The working principle is:</w:t>
      </w:r>
    </w:p>
    <w:p>
      <w:pPr>
        <w:pStyle w:val="IntenseQuote"/>
      </w:pPr>
      <w:r>
        <w:t>Find → Qualify → Strategize → Prepare → Review → Approve → Submit → Learn</w:t>
      </w:r>
    </w:p>
    <w:p>
      <w:pPr>
        <w:pStyle w:val="Heading1"/>
      </w:pPr>
      <w:r>
        <w:t>5. Grant Application Dossier</w:t>
      </w:r>
    </w:p>
    <w:p>
      <w:r>
        <w:t>Before a specialist grant writer is engaged, the local liaison should help assemble a Grant Application Dossier containing:</w:t>
      </w:r>
    </w:p>
    <w:p>
      <w:pPr>
        <w:pStyle w:val="ListBullet"/>
      </w:pPr>
      <w:r>
        <w:t>Program requirements and eligibility conditions</w:t>
      </w:r>
    </w:p>
    <w:p>
      <w:pPr>
        <w:pStyle w:val="ListBullet"/>
      </w:pPr>
      <w:r>
        <w:t>Assessment criteria and mandatory questions</w:t>
      </w:r>
    </w:p>
    <w:p>
      <w:pPr>
        <w:pStyle w:val="ListBullet"/>
      </w:pPr>
      <w:r>
        <w:t>Eligible activities and expenditure</w:t>
      </w:r>
    </w:p>
    <w:p>
      <w:pPr>
        <w:pStyle w:val="ListBullet"/>
      </w:pPr>
      <w:r>
        <w:t>Geographic and applicant requirements</w:t>
      </w:r>
    </w:p>
    <w:p>
      <w:pPr>
        <w:pStyle w:val="ListBullet"/>
      </w:pPr>
      <w:r>
        <w:t>Co-contribution/matching requirements</w:t>
      </w:r>
    </w:p>
    <w:p>
      <w:pPr>
        <w:pStyle w:val="ListBullet"/>
      </w:pPr>
      <w:r>
        <w:t>Partner requirements</w:t>
      </w:r>
    </w:p>
    <w:p>
      <w:pPr>
        <w:pStyle w:val="ListBullet"/>
      </w:pPr>
      <w:r>
        <w:t>IP and commercialisation requirements</w:t>
      </w:r>
    </w:p>
    <w:p>
      <w:pPr>
        <w:pStyle w:val="ListBullet"/>
      </w:pPr>
      <w:r>
        <w:t>Project objectives and problem statement</w:t>
      </w:r>
    </w:p>
    <w:p>
      <w:pPr>
        <w:pStyle w:val="ListBullet"/>
      </w:pPr>
      <w:r>
        <w:t>Current state and identified gap</w:t>
      </w:r>
    </w:p>
    <w:p>
      <w:pPr>
        <w:pStyle w:val="ListBullet"/>
      </w:pPr>
      <w:r>
        <w:t>Proposed QAI solution and innovation</w:t>
      </w:r>
    </w:p>
    <w:p>
      <w:pPr>
        <w:pStyle w:val="ListBullet"/>
      </w:pPr>
      <w:r>
        <w:t>R&amp;D/experimentation concept</w:t>
      </w:r>
    </w:p>
    <w:p>
      <w:pPr>
        <w:pStyle w:val="ListBullet"/>
      </w:pPr>
      <w:r>
        <w:t>Method, milestones and deliverables</w:t>
      </w:r>
    </w:p>
    <w:p>
      <w:pPr>
        <w:pStyle w:val="ListBullet"/>
      </w:pPr>
      <w:r>
        <w:t>Expected technical, operational and economic outcomes</w:t>
      </w:r>
    </w:p>
    <w:p>
      <w:pPr>
        <w:pStyle w:val="ListBullet"/>
      </w:pPr>
      <w:r>
        <w:t>Commercialisation pathway</w:t>
      </w:r>
    </w:p>
    <w:p>
      <w:pPr>
        <w:pStyle w:val="ListBullet"/>
      </w:pPr>
      <w:r>
        <w:t>Evidence supporting capability and need</w:t>
      </w:r>
    </w:p>
    <w:p>
      <w:pPr>
        <w:pStyle w:val="ListBullet"/>
      </w:pPr>
      <w:r>
        <w:t>Preliminary budget and funding request</w:t>
      </w:r>
    </w:p>
    <w:p>
      <w:pPr>
        <w:pStyle w:val="ListBullet"/>
      </w:pPr>
      <w:r>
        <w:t>Risks and mitigation</w:t>
      </w:r>
    </w:p>
    <w:p>
      <w:pPr>
        <w:pStyle w:val="ListBullet"/>
      </w:pPr>
      <w:r>
        <w:t>Required attachments and missing evidence</w:t>
      </w:r>
    </w:p>
    <w:p>
      <w:pPr>
        <w:pStyle w:val="Heading1"/>
      </w:pPr>
      <w:r>
        <w:t>6. Grant Compliance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Requirement</w:t>
            </w:r>
          </w:p>
        </w:tc>
        <w:tc>
          <w:tcPr>
            <w:tcW w:type="dxa" w:w="2160"/>
          </w:tcPr>
          <w:p>
            <w:r>
              <w:t>QAI Response</w:t>
            </w:r>
          </w:p>
        </w:tc>
        <w:tc>
          <w:tcPr>
            <w:tcW w:type="dxa" w:w="2160"/>
          </w:tcPr>
          <w:p>
            <w:r>
              <w:t>Evidence</w:t>
            </w:r>
          </w:p>
        </w:tc>
        <w:tc>
          <w:tcPr>
            <w:tcW w:type="dxa" w:w="2160"/>
          </w:tcPr>
          <w:p>
            <w:r>
              <w:t>Status</w:t>
            </w:r>
          </w:p>
        </w:tc>
      </w:tr>
      <w:tr>
        <w:tc>
          <w:tcPr>
            <w:tcW w:type="dxa" w:w="2160"/>
          </w:tcPr>
          <w:p>
            <w:r>
              <w:t>Applicant eligibility</w:t>
            </w:r>
          </w:p>
        </w:tc>
        <w:tc>
          <w:tcPr>
            <w:tcW w:type="dxa" w:w="2160"/>
          </w:tcPr>
          <w:p>
            <w:r>
              <w:t>Canadian/SA/NSW entity as required</w:t>
            </w:r>
          </w:p>
        </w:tc>
        <w:tc>
          <w:tcPr>
            <w:tcW w:type="dxa" w:w="2160"/>
          </w:tcPr>
          <w:p>
            <w:r>
              <w:t>Corporate documents</w:t>
            </w:r>
          </w:p>
        </w:tc>
        <w:tc>
          <w:tcPr>
            <w:tcW w:type="dxa" w:w="2160"/>
          </w:tcPr>
          <w:p>
            <w:r>
              <w:t>Green / Amber / Gap</w:t>
            </w:r>
          </w:p>
        </w:tc>
      </w:tr>
      <w:tr>
        <w:tc>
          <w:tcPr>
            <w:tcW w:type="dxa" w:w="2160"/>
          </w:tcPr>
          <w:p>
            <w:r>
              <w:t>Project location</w:t>
            </w:r>
          </w:p>
        </w:tc>
        <w:tc>
          <w:tcPr>
            <w:tcW w:type="dxa" w:w="2160"/>
          </w:tcPr>
          <w:p>
            <w:r>
              <w:t>Local project activity</w:t>
            </w:r>
          </w:p>
        </w:tc>
        <w:tc>
          <w:tcPr>
            <w:tcW w:type="dxa" w:w="2160"/>
          </w:tcPr>
          <w:p>
            <w:r>
              <w:t>Project plan/address</w:t>
            </w:r>
          </w:p>
        </w:tc>
        <w:tc>
          <w:tcPr>
            <w:tcW w:type="dxa" w:w="2160"/>
          </w:tcPr>
          <w:p>
            <w:r>
              <w:t>Green / Amber / Gap</w:t>
            </w:r>
          </w:p>
        </w:tc>
      </w:tr>
      <w:tr>
        <w:tc>
          <w:tcPr>
            <w:tcW w:type="dxa" w:w="2160"/>
          </w:tcPr>
          <w:p>
            <w:r>
              <w:t>Innovation</w:t>
            </w:r>
          </w:p>
        </w:tc>
        <w:tc>
          <w:tcPr>
            <w:tcW w:type="dxa" w:w="2160"/>
          </w:tcPr>
          <w:p>
            <w:r>
              <w:t>QAI CPS / Digital Twin / AI / QAI</w:t>
            </w:r>
          </w:p>
        </w:tc>
        <w:tc>
          <w:tcPr>
            <w:tcW w:type="dxa" w:w="2160"/>
          </w:tcPr>
          <w:p>
            <w:r>
              <w:t>Architecture + MVP</w:t>
            </w:r>
          </w:p>
        </w:tc>
        <w:tc>
          <w:tcPr>
            <w:tcW w:type="dxa" w:w="2160"/>
          </w:tcPr>
          <w:p>
            <w:r>
              <w:t>Green / Amber / Gap</w:t>
            </w:r>
          </w:p>
        </w:tc>
      </w:tr>
      <w:tr>
        <w:tc>
          <w:tcPr>
            <w:tcW w:type="dxa" w:w="2160"/>
          </w:tcPr>
          <w:p>
            <w:r>
              <w:t>Technical capability</w:t>
            </w:r>
          </w:p>
        </w:tc>
        <w:tc>
          <w:tcPr>
            <w:tcW w:type="dxa" w:w="2160"/>
          </w:tcPr>
          <w:p>
            <w:r>
              <w:t>QAI engineering capability</w:t>
            </w:r>
          </w:p>
        </w:tc>
        <w:tc>
          <w:tcPr>
            <w:tcW w:type="dxa" w:w="2160"/>
          </w:tcPr>
          <w:p>
            <w:r>
              <w:t>Team/evidence portfolio</w:t>
            </w:r>
          </w:p>
        </w:tc>
        <w:tc>
          <w:tcPr>
            <w:tcW w:type="dxa" w:w="2160"/>
          </w:tcPr>
          <w:p>
            <w:r>
              <w:t>Green / Amber / Gap</w:t>
            </w:r>
          </w:p>
        </w:tc>
      </w:tr>
      <w:tr>
        <w:tc>
          <w:tcPr>
            <w:tcW w:type="dxa" w:w="2160"/>
          </w:tcPr>
          <w:p>
            <w:r>
              <w:t>Market need</w:t>
            </w:r>
          </w:p>
        </w:tc>
        <w:tc>
          <w:tcPr>
            <w:tcW w:type="dxa" w:w="2160"/>
          </w:tcPr>
          <w:p>
            <w:r>
              <w:t>Identified economic/industry problem</w:t>
            </w:r>
          </w:p>
        </w:tc>
        <w:tc>
          <w:tcPr>
            <w:tcW w:type="dxa" w:w="2160"/>
          </w:tcPr>
          <w:p>
            <w:r>
              <w:t>Customer/industry evidence</w:t>
            </w:r>
          </w:p>
        </w:tc>
        <w:tc>
          <w:tcPr>
            <w:tcW w:type="dxa" w:w="2160"/>
          </w:tcPr>
          <w:p>
            <w:r>
              <w:t>Green / Amber / Gap</w:t>
            </w:r>
          </w:p>
        </w:tc>
      </w:tr>
      <w:tr>
        <w:tc>
          <w:tcPr>
            <w:tcW w:type="dxa" w:w="2160"/>
          </w:tcPr>
          <w:p>
            <w:r>
              <w:t>R&amp;D</w:t>
            </w:r>
          </w:p>
        </w:tc>
        <w:tc>
          <w:tcPr>
            <w:tcW w:type="dxa" w:w="2160"/>
          </w:tcPr>
          <w:p>
            <w:r>
              <w:t>Experimental activities where applicable</w:t>
            </w:r>
          </w:p>
        </w:tc>
        <w:tc>
          <w:tcPr>
            <w:tcW w:type="dxa" w:w="2160"/>
          </w:tcPr>
          <w:p>
            <w:r>
              <w:t>Lab records/evidence</w:t>
            </w:r>
          </w:p>
        </w:tc>
        <w:tc>
          <w:tcPr>
            <w:tcW w:type="dxa" w:w="2160"/>
          </w:tcPr>
          <w:p>
            <w:r>
              <w:t>Green / Amber / Gap</w:t>
            </w:r>
          </w:p>
        </w:tc>
      </w:tr>
      <w:tr>
        <w:tc>
          <w:tcPr>
            <w:tcW w:type="dxa" w:w="2160"/>
          </w:tcPr>
          <w:p>
            <w:r>
              <w:t>Partner</w:t>
            </w:r>
          </w:p>
        </w:tc>
        <w:tc>
          <w:tcPr>
            <w:tcW w:type="dxa" w:w="2160"/>
          </w:tcPr>
          <w:p>
            <w:r>
              <w:t>University/end-user/industry partner</w:t>
            </w:r>
          </w:p>
        </w:tc>
        <w:tc>
          <w:tcPr>
            <w:tcW w:type="dxa" w:w="2160"/>
          </w:tcPr>
          <w:p>
            <w:r>
              <w:t>LOI/contact/agreement</w:t>
            </w:r>
          </w:p>
        </w:tc>
        <w:tc>
          <w:tcPr>
            <w:tcW w:type="dxa" w:w="2160"/>
          </w:tcPr>
          <w:p>
            <w:r>
              <w:t>Green / Amber / Gap</w:t>
            </w:r>
          </w:p>
        </w:tc>
      </w:tr>
      <w:tr>
        <w:tc>
          <w:tcPr>
            <w:tcW w:type="dxa" w:w="2160"/>
          </w:tcPr>
          <w:p>
            <w:r>
              <w:t>Co-funding</w:t>
            </w:r>
          </w:p>
        </w:tc>
        <w:tc>
          <w:tcPr>
            <w:tcW w:type="dxa" w:w="2160"/>
          </w:tcPr>
          <w:p>
            <w:r>
              <w:t>Company contribution</w:t>
            </w:r>
          </w:p>
        </w:tc>
        <w:tc>
          <w:tcPr>
            <w:tcW w:type="dxa" w:w="2160"/>
          </w:tcPr>
          <w:p>
            <w:r>
              <w:t>Financial plan</w:t>
            </w:r>
          </w:p>
        </w:tc>
        <w:tc>
          <w:tcPr>
            <w:tcW w:type="dxa" w:w="2160"/>
          </w:tcPr>
          <w:p>
            <w:r>
              <w:t>Green / Amber / Gap</w:t>
            </w:r>
          </w:p>
        </w:tc>
      </w:tr>
    </w:tbl>
    <w:p>
      <w:pPr>
        <w:pStyle w:val="Heading1"/>
      </w:pPr>
      <w:r>
        <w:t>7. QAI Grant Writing Framework</w:t>
      </w:r>
    </w:p>
    <w:p>
      <w:pPr>
        <w:pStyle w:val="ListNumber"/>
      </w:pPr>
      <w:r>
        <w:t>Problem — What real economic, technical or community problem exists?</w:t>
      </w:r>
    </w:p>
    <w:p>
      <w:pPr>
        <w:pStyle w:val="ListNumber"/>
      </w:pPr>
      <w:r>
        <w:t>Need — Why does it matter and why now?</w:t>
      </w:r>
    </w:p>
    <w:p>
      <w:pPr>
        <w:pStyle w:val="ListNumber"/>
      </w:pPr>
      <w:r>
        <w:t>Current State — What exists today?</w:t>
      </w:r>
    </w:p>
    <w:p>
      <w:pPr>
        <w:pStyle w:val="ListNumber"/>
      </w:pPr>
      <w:r>
        <w:t>Gap — What cannot currently be achieved?</w:t>
      </w:r>
    </w:p>
    <w:p>
      <w:pPr>
        <w:pStyle w:val="ListNumber"/>
      </w:pPr>
      <w:r>
        <w:t>Proposed Solution — What will QAI actually build, test or demonstrate?</w:t>
      </w:r>
    </w:p>
    <w:p>
      <w:pPr>
        <w:pStyle w:val="ListNumber"/>
      </w:pPr>
      <w:r>
        <w:t>Innovation — What is technically or commercially new?</w:t>
      </w:r>
    </w:p>
    <w:p>
      <w:pPr>
        <w:pStyle w:val="ListNumber"/>
      </w:pPr>
      <w:r>
        <w:t>R&amp;D / Experimentation — What uncertainty requires investigation?</w:t>
      </w:r>
    </w:p>
    <w:p>
      <w:pPr>
        <w:pStyle w:val="ListNumber"/>
      </w:pPr>
      <w:r>
        <w:t>Method — How will the work be performed and evaluated?</w:t>
      </w:r>
    </w:p>
    <w:p>
      <w:pPr>
        <w:pStyle w:val="ListNumber"/>
      </w:pPr>
      <w:r>
        <w:t>Partners — Why are university, industry or government partners needed?</w:t>
      </w:r>
    </w:p>
    <w:p>
      <w:pPr>
        <w:pStyle w:val="ListNumber"/>
      </w:pPr>
      <w:r>
        <w:t>Outcomes — What measurable technical, operational and economic results are expected?</w:t>
      </w:r>
    </w:p>
    <w:p>
      <w:pPr>
        <w:pStyle w:val="ListNumber"/>
      </w:pPr>
      <w:r>
        <w:t>Commercialisation — Who could use the result and how could it become a product/service?</w:t>
      </w:r>
    </w:p>
    <w:p>
      <w:pPr>
        <w:pStyle w:val="ListNumber"/>
      </w:pPr>
      <w:r>
        <w:t>Evidence — What MVP, experiments, IP, publications, partnerships or results support the proposal?</w:t>
      </w:r>
    </w:p>
    <w:p>
      <w:pPr>
        <w:pStyle w:val="ListNumber"/>
      </w:pPr>
      <w:r>
        <w:t>Budget — What funding is required and why?</w:t>
      </w:r>
    </w:p>
    <w:p>
      <w:pPr>
        <w:pStyle w:val="ListNumber"/>
      </w:pPr>
      <w:r>
        <w:t>Risk — What could prevent success and how will it be mitigated?</w:t>
      </w:r>
    </w:p>
    <w:p>
      <w:pPr>
        <w:pStyle w:val="Heading1"/>
      </w:pPr>
      <w:r>
        <w:t>8. Same QAI Platform, Different Grant Narratives</w:t>
      </w:r>
    </w:p>
    <w:tbl>
      <w:tblPr>
        <w:tblStyle w:val="TableGrid"/>
        <w:tblW w:type="auto" w:w="0"/>
        <w:tblLook w:firstColumn="1" w:firstRow="1" w:lastColumn="0" w:lastRow="0" w:noHBand="0" w:noVBand="1" w:val="04A0"/>
      </w:tblPr>
      <w:tblGrid>
        <w:gridCol w:w="4320"/>
        <w:gridCol w:w="4320"/>
      </w:tblGrid>
      <w:tr>
        <w:tc>
          <w:tcPr>
            <w:tcW w:type="dxa" w:w="4320"/>
          </w:tcPr>
          <w:p>
            <w:r>
              <w:t>Funding context</w:t>
            </w:r>
          </w:p>
        </w:tc>
        <w:tc>
          <w:tcPr>
            <w:tcW w:type="dxa" w:w="4320"/>
          </w:tcPr>
          <w:p>
            <w:r>
              <w:t>Possible QAI narrative</w:t>
            </w:r>
          </w:p>
        </w:tc>
      </w:tr>
      <w:tr>
        <w:tc>
          <w:tcPr>
            <w:tcW w:type="dxa" w:w="4320"/>
          </w:tcPr>
          <w:p>
            <w:r>
              <w:t>Agriculture</w:t>
            </w:r>
          </w:p>
        </w:tc>
        <w:tc>
          <w:tcPr>
            <w:tcW w:type="dxa" w:w="4320"/>
          </w:tcPr>
          <w:p>
            <w:r>
              <w:t>QAI → water efficiency → farm productivity → drought resilience → measurable economic value</w:t>
            </w:r>
          </w:p>
        </w:tc>
      </w:tr>
      <w:tr>
        <w:tc>
          <w:tcPr>
            <w:tcW w:type="dxa" w:w="4320"/>
          </w:tcPr>
          <w:p>
            <w:r>
              <w:t>Cybersecurity / Quantum</w:t>
            </w:r>
          </w:p>
        </w:tc>
        <w:tc>
          <w:tcPr>
            <w:tcW w:type="dxa" w:w="4320"/>
          </w:tcPr>
          <w:p>
            <w:r>
              <w:t>QAI → PQC → critical infrastructure → secure CPS → quantum-safe transition</w:t>
            </w:r>
          </w:p>
        </w:tc>
      </w:tr>
      <w:tr>
        <w:tc>
          <w:tcPr>
            <w:tcW w:type="dxa" w:w="4320"/>
          </w:tcPr>
          <w:p>
            <w:r>
              <w:t>Regional Development</w:t>
            </w:r>
          </w:p>
        </w:tc>
        <w:tc>
          <w:tcPr>
            <w:tcW w:type="dxa" w:w="4320"/>
          </w:tcPr>
          <w:p>
            <w:r>
              <w:t>QAI → Digital Twin → resource optimisation → regional productivity → resilient communities</w:t>
            </w:r>
          </w:p>
        </w:tc>
      </w:tr>
      <w:tr>
        <w:tc>
          <w:tcPr>
            <w:tcW w:type="dxa" w:w="4320"/>
          </w:tcPr>
          <w:p>
            <w:r>
              <w:t>Energy</w:t>
            </w:r>
          </w:p>
        </w:tc>
        <w:tc>
          <w:tcPr>
            <w:tcW w:type="dxa" w:w="4320"/>
          </w:tcPr>
          <w:p>
            <w:r>
              <w:t>QAI → optimisation → energy efficiency/resilience → measurable operational value</w:t>
            </w:r>
          </w:p>
        </w:tc>
      </w:tr>
      <w:tr>
        <w:tc>
          <w:tcPr>
            <w:tcW w:type="dxa" w:w="4320"/>
          </w:tcPr>
          <w:p>
            <w:r>
              <w:t>Manufacturing</w:t>
            </w:r>
          </w:p>
        </w:tc>
        <w:tc>
          <w:tcPr>
            <w:tcW w:type="dxa" w:w="4320"/>
          </w:tcPr>
          <w:p>
            <w:r>
              <w:t>QAI → advanced automation/optimisation → productivity and competitiveness</w:t>
            </w:r>
          </w:p>
        </w:tc>
      </w:tr>
    </w:tbl>
    <w:p>
      <w:pPr>
        <w:pStyle w:val="Heading1"/>
      </w:pPr>
      <w:r>
        <w:t>9. Funding Application Register</w:t>
      </w:r>
    </w:p>
    <w:p>
      <w:r>
        <w:t>A common register should be maintained across Canada and Australia to avoid inconsistent applications and to track overlapping assistance.</w:t>
      </w:r>
    </w:p>
    <w:p>
      <w:pPr>
        <w:pStyle w:val="ListBullet"/>
      </w:pPr>
      <w:r>
        <w:t>Jurisdiction and program</w:t>
      </w:r>
    </w:p>
    <w:p>
      <w:pPr>
        <w:pStyle w:val="ListBullet"/>
      </w:pPr>
      <w:r>
        <w:t>Project and application owner</w:t>
      </w:r>
    </w:p>
    <w:p>
      <w:pPr>
        <w:pStyle w:val="ListBullet"/>
      </w:pPr>
      <w:r>
        <w:t>Amount requested and matching contribution</w:t>
      </w:r>
    </w:p>
    <w:p>
      <w:pPr>
        <w:pStyle w:val="ListBullet"/>
      </w:pPr>
      <w:r>
        <w:t>Submission date and status</w:t>
      </w:r>
    </w:p>
    <w:p>
      <w:pPr>
        <w:pStyle w:val="ListBullet"/>
      </w:pPr>
      <w:r>
        <w:t>Other government funding applied for/received</w:t>
      </w:r>
    </w:p>
    <w:p>
      <w:pPr>
        <w:pStyle w:val="ListBullet"/>
      </w:pPr>
      <w:r>
        <w:t>Potentially overlapping expenditure</w:t>
      </w:r>
    </w:p>
    <w:p>
      <w:pPr>
        <w:pStyle w:val="ListBullet"/>
      </w:pPr>
      <w:r>
        <w:t>Commitments and conditions</w:t>
      </w:r>
    </w:p>
    <w:p>
      <w:pPr>
        <w:pStyle w:val="ListBullet"/>
      </w:pPr>
      <w:r>
        <w:t>Reporting requirements</w:t>
      </w:r>
    </w:p>
    <w:p>
      <w:pPr>
        <w:pStyle w:val="ListBullet"/>
      </w:pPr>
      <w:r>
        <w:t>Application outcome and feedback</w:t>
      </w:r>
    </w:p>
    <w:p>
      <w:pPr>
        <w:pStyle w:val="ListBullet"/>
      </w:pPr>
      <w:r>
        <w:t>Lessons learned for future applications</w:t>
      </w:r>
    </w:p>
    <w:p>
      <w:pPr>
        <w:pStyle w:val="Heading1"/>
      </w:pPr>
      <w:r>
        <w:t>10. Local Staff Role — Brief Job Expectations</w:t>
      </w:r>
    </w:p>
    <w:p>
      <w:r>
        <w:t>Suggested title:</w:t>
      </w:r>
    </w:p>
    <w:p>
      <w:r>
        <w:rPr>
          <w:b/>
        </w:rPr>
        <w:t>Part-Time Business, Grants &amp; Technology Liaison</w:t>
      </w:r>
    </w:p>
    <w:p>
      <w:r>
        <w:t>Alternative title: Part-Time Grants &amp; Innovation Liaison / Business, Grants &amp; Technology Development Officer.</w:t>
      </w:r>
    </w:p>
    <w:p>
      <w:r>
        <w:t>Purpose:</w:t>
      </w:r>
    </w:p>
    <w:p>
      <w:r>
        <w:t>Build and maintain a local funding, commercialisation and business-opportunity pipeline; identify qualified programs; prepare clear first-draft business/grant material; coordinate local contacts; and act as the communication bridge between Bhadale IT/QAI engineering and specialist grant advisers.</w:t>
      </w:r>
    </w:p>
    <w:p>
      <w:pPr>
        <w:pStyle w:val="Heading2"/>
      </w:pPr>
      <w:r>
        <w:t>11. Core Responsibilities</w:t>
      </w:r>
    </w:p>
    <w:p>
      <w:pPr>
        <w:pStyle w:val="ListBullet"/>
      </w:pPr>
      <w:r>
        <w:t>Search government grant/funding portals and relevant commercial databases.</w:t>
      </w:r>
    </w:p>
    <w:p>
      <w:pPr>
        <w:pStyle w:val="ListBullet"/>
      </w:pPr>
      <w:r>
        <w:t>Monitor federal, state/provincial and local opportunities.</w:t>
      </w:r>
    </w:p>
    <w:p>
      <w:pPr>
        <w:pStyle w:val="ListBullet"/>
      </w:pPr>
      <w:r>
        <w:t>Screen programs for eligibility and strategic fit before recommending an application.</w:t>
      </w:r>
    </w:p>
    <w:p>
      <w:pPr>
        <w:pStyle w:val="ListBullet"/>
      </w:pPr>
      <w:r>
        <w:t>Maintain the Opportunity Register and application calendar.</w:t>
      </w:r>
    </w:p>
    <w:p>
      <w:pPr>
        <w:pStyle w:val="ListBullet"/>
      </w:pPr>
      <w:r>
        <w:t>Read guidelines and extract eligibility, criteria, evidence and compliance requirements.</w:t>
      </w:r>
    </w:p>
    <w:p>
      <w:pPr>
        <w:pStyle w:val="ListBullet"/>
      </w:pPr>
      <w:r>
        <w:t>Prepare opportunity summaries and Grant Compliance Matrices.</w:t>
      </w:r>
    </w:p>
    <w:p>
      <w:pPr>
        <w:pStyle w:val="ListBullet"/>
      </w:pPr>
      <w:r>
        <w:t>Draft clear problem statements, project summaries, objectives, outcomes and partner descriptions.</w:t>
      </w:r>
    </w:p>
    <w:p>
      <w:pPr>
        <w:pStyle w:val="ListBullet"/>
      </w:pPr>
      <w:r>
        <w:t>Translate technical information into understandable business/grant language.</w:t>
      </w:r>
    </w:p>
    <w:p>
      <w:pPr>
        <w:pStyle w:val="ListBullet"/>
      </w:pPr>
      <w:r>
        <w:t>Collect evidence and supporting documents from the QAI technical team.</w:t>
      </w:r>
    </w:p>
    <w:p>
      <w:pPr>
        <w:pStyle w:val="ListBullet"/>
      </w:pPr>
      <w:r>
        <w:t>Brief and coordinate specialist grant writers when an application requires professional submission support.</w:t>
      </w:r>
    </w:p>
    <w:p>
      <w:pPr>
        <w:pStyle w:val="ListBullet"/>
      </w:pPr>
      <w:r>
        <w:t>Coordinate local contacts with government agencies, universities, incubators, industry partners and potential clients.</w:t>
      </w:r>
    </w:p>
    <w:p>
      <w:pPr>
        <w:pStyle w:val="ListBullet"/>
      </w:pPr>
      <w:r>
        <w:t>Track applications, follow-ups, requests for clarification and outcomes.</w:t>
      </w:r>
    </w:p>
    <w:p>
      <w:pPr>
        <w:pStyle w:val="ListBullet"/>
      </w:pPr>
      <w:r>
        <w:t>Maintain a record of grant conditions, reporting obligations and evidence requirements after award.</w:t>
      </w:r>
    </w:p>
    <w:p>
      <w:pPr>
        <w:pStyle w:val="Heading2"/>
      </w:pPr>
      <w:r>
        <w:t>12. Expected Skills</w:t>
      </w:r>
    </w:p>
    <w:p>
      <w:pPr>
        <w:pStyle w:val="ListBullet"/>
      </w:pPr>
      <w:r>
        <w:t>Good written English and business writing.</w:t>
      </w:r>
    </w:p>
    <w:p>
      <w:pPr>
        <w:pStyle w:val="ListBullet"/>
      </w:pPr>
      <w:r>
        <w:t>Ability to read and interpret grant/program guidelines.</w:t>
      </w:r>
    </w:p>
    <w:p>
      <w:pPr>
        <w:pStyle w:val="ListBullet"/>
      </w:pPr>
      <w:r>
        <w:t>Basic proposal and business-case writing.</w:t>
      </w:r>
    </w:p>
    <w:p>
      <w:pPr>
        <w:pStyle w:val="ListBullet"/>
      </w:pPr>
      <w:r>
        <w:t>Strong research and information-screening skills.</w:t>
      </w:r>
    </w:p>
    <w:p>
      <w:pPr>
        <w:pStyle w:val="ListBullet"/>
      </w:pPr>
      <w:r>
        <w:t>Ability to communicate with technical and non-technical people.</w:t>
      </w:r>
    </w:p>
    <w:p>
      <w:pPr>
        <w:pStyle w:val="ListBullet"/>
      </w:pPr>
      <w:r>
        <w:t>Basic understanding of AI, QAI/quantum technology, CPS, Digital Twins, cybersecurity and/or AgTech; deep technical expertise is not required.</w:t>
      </w:r>
    </w:p>
    <w:p>
      <w:pPr>
        <w:pStyle w:val="ListBullet"/>
      </w:pPr>
      <w:r>
        <w:t>Good document, spreadsheet and opportunity-register skills.</w:t>
      </w:r>
    </w:p>
    <w:p>
      <w:pPr>
        <w:pStyle w:val="ListBullet"/>
      </w:pPr>
      <w:r>
        <w:t>Professional communication and follow-up discipline.</w:t>
      </w:r>
    </w:p>
    <w:p>
      <w:pPr>
        <w:pStyle w:val="ListBullet"/>
      </w:pPr>
      <w:r>
        <w:t>Ability to identify missing information rather than inventing it.</w:t>
      </w:r>
    </w:p>
    <w:p>
      <w:pPr>
        <w:pStyle w:val="ListBullet"/>
      </w:pPr>
      <w:r>
        <w:t>Confidential handling of company, client, technical and financial information.</w:t>
      </w:r>
    </w:p>
    <w:p>
      <w:pPr>
        <w:pStyle w:val="Heading2"/>
      </w:pPr>
      <w:r>
        <w:t>13. What the Local Staff Member Does Not Need to Be</w:t>
      </w:r>
    </w:p>
    <w:p>
      <w:pPr>
        <w:pStyle w:val="ListBullet"/>
      </w:pPr>
      <w:r>
        <w:t>A quantum computing researcher.</w:t>
      </w:r>
    </w:p>
    <w:p>
      <w:pPr>
        <w:pStyle w:val="ListBullet"/>
      </w:pPr>
      <w:r>
        <w:t>A senior software engineer.</w:t>
      </w:r>
    </w:p>
    <w:p>
      <w:pPr>
        <w:pStyle w:val="ListBullet"/>
      </w:pPr>
      <w:r>
        <w:t>A tax lawyer or accountant.</w:t>
      </w:r>
    </w:p>
    <w:p>
      <w:pPr>
        <w:pStyle w:val="ListBullet"/>
      </w:pPr>
      <w:r>
        <w:t>A final R&amp;D Tax Incentive technical assessor.</w:t>
      </w:r>
    </w:p>
    <w:p>
      <w:pPr>
        <w:pStyle w:val="ListBullet"/>
      </w:pPr>
      <w:r>
        <w:t>A professional grant writer for every application.</w:t>
      </w:r>
    </w:p>
    <w:p>
      <w:pPr>
        <w:pStyle w:val="ListBullet"/>
      </w:pPr>
      <w:r>
        <w:t>The person authorised to sign contracts or commit company funds.</w:t>
      </w:r>
    </w:p>
    <w:p>
      <w:pPr>
        <w:pStyle w:val="Heading1"/>
      </w:pPr>
      <w:r>
        <w:t>14. Communication Chain</w:t>
      </w:r>
    </w:p>
    <w:p>
      <w:r>
        <w:t>Opportunity → Local Liaison → Qualification → Grant Dossier → QAI Technical Team → Specialist Grant Writer/R&amp;D Adviser → Founder/Authorised Approval → Submission → Outcome → Learning</w:t>
      </w:r>
    </w:p>
    <w:p>
      <w:r>
        <w:t>The local liaison should be able to explain the opportunity accurately to the technical team and then communicate the technical team's response accurately to the specialist writer.</w:t>
      </w:r>
    </w:p>
    <w:p>
      <w:pPr>
        <w:pStyle w:val="Heading1"/>
      </w:pPr>
      <w:r>
        <w:t>15. Local Presence Expectations</w:t>
      </w:r>
    </w:p>
    <w:p>
      <w:r>
        <w:t>The role is intended to be physically local rather than a purely remote virtual-assistant role. Depending on jurisdiction and engagement terms, the person may be expected to:</w:t>
      </w:r>
    </w:p>
    <w:p>
      <w:pPr>
        <w:pStyle w:val="ListBullet"/>
      </w:pPr>
      <w:r>
        <w:t>Attend local meetings and introductory discussions.</w:t>
      </w:r>
    </w:p>
    <w:p>
      <w:pPr>
        <w:pStyle w:val="ListBullet"/>
      </w:pPr>
      <w:r>
        <w:t>Visit government, university, incubator, coworking or client locations when authorised.</w:t>
      </w:r>
    </w:p>
    <w:p>
      <w:pPr>
        <w:pStyle w:val="ListBullet"/>
      </w:pPr>
      <w:r>
        <w:t>Receive or coordinate local documents/courier items.</w:t>
      </w:r>
    </w:p>
    <w:p>
      <w:pPr>
        <w:pStyle w:val="ListBullet"/>
      </w:pPr>
      <w:r>
        <w:t>Support local demonstrations and meetings.</w:t>
      </w:r>
    </w:p>
    <w:p>
      <w:pPr>
        <w:pStyle w:val="ListBullet"/>
      </w:pPr>
      <w:r>
        <w:t>Follow up with local contacts by phone/email/in person.</w:t>
      </w:r>
    </w:p>
    <w:p>
      <w:pPr>
        <w:pStyle w:val="ListBullet"/>
      </w:pPr>
      <w:r>
        <w:t>Help establish genuine local business presence and relationships.</w:t>
      </w:r>
    </w:p>
    <w:p>
      <w:pPr>
        <w:pStyle w:val="Heading1"/>
      </w:pPr>
      <w:r>
        <w:t>16. Authority Boundaries</w:t>
      </w:r>
    </w:p>
    <w:p>
      <w:pPr>
        <w:pStyle w:val="ListBullet"/>
      </w:pPr>
      <w:r>
        <w:t>No authority to sign contracts unless separately authorised.</w:t>
      </w:r>
    </w:p>
    <w:p>
      <w:pPr>
        <w:pStyle w:val="ListBullet"/>
      </w:pPr>
      <w:r>
        <w:t>No authority to commit company funds beyond an approved limit.</w:t>
      </w:r>
    </w:p>
    <w:p>
      <w:pPr>
        <w:pStyle w:val="ListBullet"/>
      </w:pPr>
      <w:r>
        <w:t>No legal, tax or immigration advice unless appropriately qualified and authorised.</w:t>
      </w:r>
    </w:p>
    <w:p>
      <w:pPr>
        <w:pStyle w:val="ListBullet"/>
      </w:pPr>
      <w:r>
        <w:t>No technical commitments on behalf of QAI without technical-team approval.</w:t>
      </w:r>
    </w:p>
    <w:p>
      <w:pPr>
        <w:pStyle w:val="ListBullet"/>
      </w:pPr>
      <w:r>
        <w:t>No disclosure of confidential IP, source code, client information or research material without authorisation.</w:t>
      </w:r>
    </w:p>
    <w:p>
      <w:pPr>
        <w:pStyle w:val="ListBullet"/>
      </w:pPr>
      <w:r>
        <w:t>No representation that a grant is guaranteed.</w:t>
      </w:r>
    </w:p>
    <w:p>
      <w:pPr>
        <w:pStyle w:val="ListBullet"/>
      </w:pPr>
      <w:r>
        <w:t>No representation that a project qualifies for R&amp;D Tax Incentive treatment without appropriate specialist review.</w:t>
      </w:r>
    </w:p>
    <w:p>
      <w:pPr>
        <w:pStyle w:val="Heading1"/>
      </w:pPr>
      <w:r>
        <w:t>17. Initial Working Model</w:t>
      </w:r>
    </w:p>
    <w:p>
      <w:r>
        <w:t>A lean initial arrangement can start part-time, with the role expanding if funded projects or commercial contracts generate additional workload. Compensation, hours, employment/contractor classification, travel reimbursement and confidentiality should be documented appropriately for the jurisdiction.</w:t>
      </w:r>
    </w:p>
    <w:p>
      <w:pPr>
        <w:pStyle w:val="Heading1"/>
      </w:pPr>
      <w:r>
        <w:t>18. Final Operating Principle</w:t>
      </w:r>
    </w:p>
    <w:p>
      <w:r>
        <w:t>The local person is not simply a grant hunter. They are the local funding and commercialisation coordination layer connecting:</w:t>
      </w:r>
    </w:p>
    <w:p>
      <w:pPr>
        <w:pStyle w:val="IntenseQuote"/>
      </w:pPr>
      <w:r>
        <w:t>Opportunity Intelligence + Grant Writing + Compliance + Technical Communication + Local Relationships + QAI Engineering + Specialist Advice</w:t>
      </w:r>
    </w:p>
    <w:p>
      <w:r>
        <w:t>The goal is to submit fewer, better-qualified applications with stronger evidence and a clear commercial/research pathway.</w:t>
      </w:r>
    </w:p>
    <w:p>
      <w:pPr>
        <w:pStyle w:val="Heading1"/>
      </w:pPr>
      <w:r>
        <w:t>19. Reference Sources</w:t>
      </w:r>
    </w:p>
    <w:p>
      <w:r>
        <w:rPr>
          <w:b/>
        </w:rPr>
        <w:t xml:space="preserve">Australian Government — Check if you are ready to apply for a grant: </w:t>
      </w:r>
      <w:r>
        <w:t>https://business.gov.au/grants-and-programs/check-if-youre-ready-to-apply-for-a-grant</w:t>
      </w:r>
    </w:p>
    <w:p>
      <w:r>
        <w:rPr>
          <w:b/>
        </w:rPr>
        <w:t xml:space="preserve">Canadian Government — Grants and contributions process: </w:t>
      </w:r>
      <w:r>
        <w:t>https://www.canada.ca/en/employment-social-development/services/funding/grants-contributions-process.html</w:t>
      </w:r>
    </w:p>
    <w:p>
      <w:r>
        <w:rPr>
          <w:b/>
        </w:rPr>
        <w:t xml:space="preserve">Innovative Solutions Canada — Grant Instructions and Procedures: </w:t>
      </w:r>
      <w:r>
        <w:t>https://ised-isde.canada.ca/site/innovative-solutions-canada/sites/default/files/documents/grant-instructions-and-procedures-call-004.pdf</w:t>
      </w:r>
    </w:p>
    <w:p>
      <w:r>
        <w:rPr>
          <w:b/>
        </w:rPr>
        <w:t xml:space="preserve">Canada Benefits Finder: </w:t>
      </w:r>
      <w:r>
        <w:t>https://innovation.ised-isde.canada.ca/s/?language=en_CA</w:t>
      </w:r>
    </w:p>
    <w:p>
      <w:r>
        <w:rPr>
          <w:b/>
        </w:rPr>
        <w:t xml:space="preserve">Australian Government — Grants and Support: </w:t>
      </w:r>
      <w:r>
        <w:t>https://business.gov.au/grants-and-support</w:t>
      </w:r>
    </w:p>
    <w:p>
      <w:r>
        <w:t>Prepared as an internal operating-model draft. Program-specific eligibility, grant terms, employment requirements and application rules must be checked against the current official program documentation before each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