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South Australia QAI Funding, Research &amp; Commercialisation Opportunities</w:t>
      </w:r>
    </w:p>
    <w:p>
      <w:pPr>
        <w:jc w:val="center"/>
      </w:pPr>
      <w:r>
        <w:rPr>
          <w:i/>
        </w:rPr>
        <w:t>Quantum / PQC • AgTech • University Collaboration • R&amp;D • Commercialisation</w:t>
      </w:r>
    </w:p>
    <w:p>
      <w:r>
        <w:t>Purpose: consolidate the South Australian and Australian Government programs discussed as potentially relevant to Bhadale IT/QAI. The focus is on post-quantum/quantum technologies, agricultural innovation, university/research collaboration, commercialisation, drought resilience and R&amp;D tax incentives. Program status and eligibility should be rechecked before applying.</w:t>
      </w:r>
    </w:p>
    <w:p>
      <w:pPr>
        <w:pStyle w:val="Heading1"/>
      </w:pPr>
      <w:r>
        <w:t>1. Critical Technologies Challenge Program (CTCP)</w:t>
      </w:r>
    </w:p>
    <w:p>
      <w:r>
        <w:rPr>
          <w:b/>
        </w:rPr>
        <w:t xml:space="preserve">Official link: </w:t>
      </w:r>
      <w:r>
        <w:t>https://www.industry.gov.au/science-technology-and-innovation/industry-innovation/critical-technologies-challenge-program</w:t>
      </w:r>
    </w:p>
    <w:p>
      <w:r>
        <w:t>Federal quantum technology program. It invites solutions to market-led challenges of national significance using quantum technologies and is designed to connect quantum researchers, quantum businesses and technology end-users. It operates through feasibility projects followed by selected demonstrator projects.</w:t>
      </w:r>
    </w:p>
    <w:p>
      <w:r>
        <w:rPr>
          <w:b/>
        </w:rPr>
        <w:t xml:space="preserve">QAI relevance: </w:t>
      </w:r>
      <w:r>
        <w:t>Potential QAI fit: quantum-secure communications, PQC/quantum-safe CPS, secure critical infrastructure, secure Digital Twins, quantum-enabled optimisation and other nationally significant use cases. PQC should be framed as part of a broader quantum/critical-technology and cybersecurity problem rather than assuming a dedicated PQC grant category.</w:t>
      </w:r>
    </w:p>
    <w:p>
      <w:pPr>
        <w:pStyle w:val="Heading1"/>
      </w:pPr>
      <w:r>
        <w:t>2. CTCP Grant Recipients / Demonstrator Evidence</w:t>
      </w:r>
    </w:p>
    <w:p>
      <w:r>
        <w:rPr>
          <w:b/>
        </w:rPr>
        <w:t xml:space="preserve">Official link: </w:t>
      </w:r>
      <w:r>
        <w:t>https://business.gov.au/grants-and-programs/critical-technologies-challenge-program/grant-recipients</w:t>
      </w:r>
    </w:p>
    <w:p>
      <w:r>
        <w:t>Useful evidence that the CTCP supports multi-party research/industry projects. A funded example involved Deakin University, ANU, Optimal Group Australia, QuintessenceLabs and UniSA working on quantum-secured communications for smart microgrids.</w:t>
      </w:r>
    </w:p>
    <w:p>
      <w:r>
        <w:rPr>
          <w:b/>
        </w:rPr>
        <w:t xml:space="preserve">QAI relevance: </w:t>
      </w:r>
      <w:r>
        <w:t>Potential lesson for QAI: form a consortium around an Australian end-user problem, with an Australian research organisation and industry capability.</w:t>
      </w:r>
    </w:p>
    <w:p>
      <w:pPr>
        <w:pStyle w:val="Heading1"/>
      </w:pPr>
      <w:r>
        <w:t>3. South Australian Research and Innovation Fund (RIF)</w:t>
      </w:r>
    </w:p>
    <w:p>
      <w:r>
        <w:rPr>
          <w:b/>
        </w:rPr>
        <w:t xml:space="preserve">Official link: </w:t>
      </w:r>
      <w:r>
        <w:t>https://statedevelopment.sa.gov.au/science-and-research-excellence/rif</w:t>
      </w:r>
    </w:p>
    <w:p>
      <w:r>
        <w:t>South Australia's research and innovation funding framework supporting research, innovation, collaboration, translation and commercialisation. It provides a pathway connecting research organisations, industry and government.</w:t>
      </w:r>
    </w:p>
    <w:p>
      <w:r>
        <w:rPr>
          <w:b/>
        </w:rPr>
        <w:t xml:space="preserve">QAI relevance: </w:t>
      </w:r>
      <w:r>
        <w:t>Potential QAI fit: quantum/critical technology research, AgTech, Digital Farm CPS, AI/QAI, cybersecurity and applied commercialisation.</w:t>
      </w:r>
    </w:p>
    <w:p>
      <w:pPr>
        <w:pStyle w:val="Heading1"/>
      </w:pPr>
      <w:r>
        <w:t>4. RIF Stream 2 — Seed-Start</w:t>
      </w:r>
    </w:p>
    <w:p>
      <w:r>
        <w:rPr>
          <w:b/>
        </w:rPr>
        <w:t xml:space="preserve">Official link: </w:t>
      </w:r>
      <w:r>
        <w:t>https://statedevelopment.sa.gov.au/science-and-research-excellence/rif/stream-2</w:t>
      </w:r>
    </w:p>
    <w:p>
      <w:r>
        <w:t>Supports innovative early-stage South Australian businesses commercialising products or services with high-growth potential. The cited funding structure includes Seed Grants of $50,000–$100,000 on a competitive 2:1 matched basis and Start Grants above $100,000 to $500,000 on a competitive 1:1 matched basis.</w:t>
      </w:r>
    </w:p>
    <w:p>
      <w:r>
        <w:rPr>
          <w:b/>
        </w:rPr>
        <w:t xml:space="preserve">QAI relevance: </w:t>
      </w:r>
      <w:r>
        <w:t>Potential QAI fit: establish a genuine SA operating business/project and use the existing QAI MVP as evidence for an SA commercialisation project.</w:t>
      </w:r>
    </w:p>
    <w:p>
      <w:pPr>
        <w:pStyle w:val="Heading1"/>
      </w:pPr>
      <w:r>
        <w:t>5. RIF Stream 2 — Go2Gov</w:t>
      </w:r>
    </w:p>
    <w:p>
      <w:r>
        <w:rPr>
          <w:b/>
        </w:rPr>
        <w:t xml:space="preserve">Official link: </w:t>
      </w:r>
      <w:r>
        <w:t>https://statedevelopment.sa.gov.au/science-and-research-excellence/rif/stream-2</w:t>
      </w:r>
    </w:p>
    <w:p>
      <w:r>
        <w:t>Supports high-growth businesses partnering with a South Australian Government agency as a first or reference customer.</w:t>
      </w:r>
    </w:p>
    <w:p>
      <w:r>
        <w:rPr>
          <w:b/>
        </w:rPr>
        <w:t xml:space="preserve">QAI relevance: </w:t>
      </w:r>
      <w:r>
        <w:t>Potential QAI fit: a government co-design and real-world trial of a QAI/CPS solution, followed by evidence and a potential procurement pathway.</w:t>
      </w:r>
    </w:p>
    <w:p>
      <w:pPr>
        <w:pStyle w:val="Heading1"/>
      </w:pPr>
      <w:r>
        <w:t>6. Primary Industries Future Forward Fund</w:t>
      </w:r>
    </w:p>
    <w:p>
      <w:r>
        <w:rPr>
          <w:b/>
        </w:rPr>
        <w:t xml:space="preserve">Official link: </w:t>
      </w:r>
      <w:r>
        <w:t>https://pir.sa.gov.au/regions-and-support/apply-for-funding/primary-industries-future-forward-fund</w:t>
      </w:r>
    </w:p>
    <w:p>
      <w:r>
        <w:t>South Australian primary-industries innovation funding discussed as relevant to research and innovation intended to improve productivity, sustainability and resilience across primary industries.</w:t>
      </w:r>
    </w:p>
    <w:p>
      <w:r>
        <w:rPr>
          <w:b/>
        </w:rPr>
        <w:t xml:space="preserve">QAI relevance: </w:t>
      </w:r>
      <w:r>
        <w:t>Potential QAI fit: Digital Farm, water/resource optimisation, agricultural decision support, climate resilience, AI/QAI experimentation and measurable productivity outcomes.</w:t>
      </w:r>
    </w:p>
    <w:p>
      <w:pPr>
        <w:pStyle w:val="Heading1"/>
      </w:pPr>
      <w:r>
        <w:t>7. Future Drought Fund — Long-term Trials of Drought Resilient Farming Practices</w:t>
      </w:r>
    </w:p>
    <w:p>
      <w:r>
        <w:rPr>
          <w:b/>
        </w:rPr>
        <w:t xml:space="preserve">Official link: </w:t>
      </w:r>
      <w:r>
        <w:t>https://www.agriculture.gov.au/agriculture-land/farm-food-drought/drought/future-drought-fund/long-term-trials-drought-resilient-farming-practices-grants</w:t>
      </w:r>
    </w:p>
    <w:p>
      <w:r>
        <w:t>Federal program supporting science-based long-term trials of innovative farming practices for drought and climate resilience. Round 3 is currently closed. The current page states up to $20 million is available over four years, with $2–$5 million per project for that round.</w:t>
      </w:r>
    </w:p>
    <w:p>
      <w:r>
        <w:rPr>
          <w:b/>
        </w:rPr>
        <w:t xml:space="preserve">QAI relevance: </w:t>
      </w:r>
      <w:r>
        <w:t>SA evidence is particularly relevant: previous projects include The University of Adelaide and Flinders University, including an $8 million Flinders-led SA climate-resilience project in the earlier round.</w:t>
      </w:r>
    </w:p>
    <w:p>
      <w:pPr>
        <w:pStyle w:val="Heading1"/>
      </w:pPr>
      <w:r>
        <w:t>8. Future Drought Fund — Innovation Challenges Pilot</w:t>
      </w:r>
    </w:p>
    <w:p>
      <w:r>
        <w:rPr>
          <w:b/>
        </w:rPr>
        <w:t xml:space="preserve">Official link: </w:t>
      </w:r>
      <w:r>
        <w:t>https://www.agriculture.gov.au/ag-farm-food/drought/future-drought-fund</w:t>
      </w:r>
    </w:p>
    <w:p>
      <w:r>
        <w:t>Federal FDF program for innovative solutions to complex, multi-dimensional drought and climate challenges. The FDF investment strategy identifies $20 million over three years from 2025–26 for the Innovation Challenges Pilot.</w:t>
      </w:r>
    </w:p>
    <w:p>
      <w:r>
        <w:rPr>
          <w:b/>
        </w:rPr>
        <w:t xml:space="preserve">QAI relevance: </w:t>
      </w:r>
      <w:r>
        <w:t>Potential QAI fit: regional Digital Twin, water optimisation, drought decision support, resource optimisation and AI/QAI-assisted resilience scenarios.</w:t>
      </w:r>
    </w:p>
    <w:p>
      <w:pPr>
        <w:pStyle w:val="Heading1"/>
      </w:pPr>
      <w:r>
        <w:t>9. Future Drought Fund — Resilient Landscapes</w:t>
      </w:r>
    </w:p>
    <w:p>
      <w:r>
        <w:rPr>
          <w:b/>
        </w:rPr>
        <w:t xml:space="preserve">Official link: </w:t>
      </w:r>
      <w:r>
        <w:t>https://www.agriculture.gov.au/agriculture-land/farm-food-drought/drought/future-drought-fund/resilient-landscapes-grants</w:t>
      </w:r>
    </w:p>
    <w:p>
      <w:r>
        <w:t>Supports projects demonstrating practices, technologies and approaches that improve natural-capital management and drought resilience at landscape scale. The program has included South Australian projects.</w:t>
      </w:r>
    </w:p>
    <w:p>
      <w:r>
        <w:rPr>
          <w:b/>
        </w:rPr>
        <w:t xml:space="preserve">QAI relevance: </w:t>
      </w:r>
      <w:r>
        <w:t>Potential QAI fit: landscape-scale Digital Twin, water/soil/biodiversity modelling, scenario simulation and regional resource optimisation.</w:t>
      </w:r>
    </w:p>
    <w:p>
      <w:pPr>
        <w:pStyle w:val="Heading1"/>
      </w:pPr>
      <w:r>
        <w:t>10. Future Drought Fund — Drought Resilience Adoption &amp; Innovation Hubs</w:t>
      </w:r>
    </w:p>
    <w:p>
      <w:r>
        <w:rPr>
          <w:b/>
        </w:rPr>
        <w:t xml:space="preserve">Official link: </w:t>
      </w:r>
      <w:r>
        <w:t>https://www.agriculture.gov.au/agriculture-land/farm-food-drought/drought/future-drought-fund/research-adoption-program/adoption-innovation-hubs</w:t>
      </w:r>
    </w:p>
    <w:p>
      <w:r>
        <w:t>The refreshed program is establishing seven national Drought Resilience Hubs, with up to $86.7 million through June 2032. Hubs bring together industry, researchers, farmers and community groups and can support on-farm trials and decision-support tools. The 2026 grant round is closed.</w:t>
      </w:r>
    </w:p>
    <w:p>
      <w:r>
        <w:rPr>
          <w:b/>
        </w:rPr>
        <w:t xml:space="preserve">QAI relevance: </w:t>
      </w:r>
      <w:r>
        <w:t>Potential QAI route: partnership with a relevant hub, university or grower network rather than assuming Bhadale IT would apply as a standalone applicant.</w:t>
      </w:r>
    </w:p>
    <w:p>
      <w:pPr>
        <w:pStyle w:val="Heading1"/>
      </w:pPr>
      <w:r>
        <w:t>11. Future Drought Fund — Scaling Success</w:t>
      </w:r>
    </w:p>
    <w:p>
      <w:r>
        <w:rPr>
          <w:b/>
        </w:rPr>
        <w:t xml:space="preserve">Official link: </w:t>
      </w:r>
      <w:r>
        <w:t>https://www.agriculture.gov.au/agriculture-land/farm-food-drought/drought/future-drought-fund/scaling-success</w:t>
      </w:r>
    </w:p>
    <w:p>
      <w:r>
        <w:t>Supports successful previous FDF projects to expand their impact. Current total approved investment is $37 million across 22 projects, with individual projects valued up to $3 million. It is targeted at organisations that have successfully delivered previous FDF projects.</w:t>
      </w:r>
    </w:p>
    <w:p>
      <w:r>
        <w:rPr>
          <w:b/>
        </w:rPr>
        <w:t xml:space="preserve">QAI relevance: </w:t>
      </w:r>
      <w:r>
        <w:t>Potential QAI relevance: longer-term pathway after establishing an initial funded agricultural project and evidence base.</w:t>
      </w:r>
    </w:p>
    <w:p>
      <w:pPr>
        <w:pStyle w:val="Heading1"/>
      </w:pPr>
      <w:r>
        <w:t>12. R&amp;D Tax Incentive — General</w:t>
      </w:r>
    </w:p>
    <w:p>
      <w:r>
        <w:rPr>
          <w:b/>
        </w:rPr>
        <w:t xml:space="preserve">Official link: </w:t>
      </w:r>
      <w:r>
        <w:t>https://business.gov.au/grants-and-programs/research-and-development-tax-incentive</w:t>
      </w:r>
    </w:p>
    <w:p>
      <w:r>
        <w:t>Federal R&amp;D tax incentive for eligible R&amp;D activities and qualifying expenditure. This is a tax incentive rather than a conventional project grant.</w:t>
      </w:r>
    </w:p>
    <w:p>
      <w:r>
        <w:rPr>
          <w:b/>
        </w:rPr>
        <w:t xml:space="preserve">QAI relevance: </w:t>
      </w:r>
      <w:r>
        <w:t>Potential QAI fit: eligible Australian R&amp;D activities associated with development and experimental work in QAI, CPS, AI, cybersecurity or AgTech, subject to the statutory eligibility and record-keeping requirements.</w:t>
      </w:r>
    </w:p>
    <w:p>
      <w:pPr>
        <w:pStyle w:val="Heading1"/>
      </w:pPr>
      <w:r>
        <w:t>13. R&amp;D Tax Incentive — Agrifood Guide</w:t>
      </w:r>
    </w:p>
    <w:p>
      <w:r>
        <w:rPr>
          <w:b/>
        </w:rPr>
        <w:t xml:space="preserve">Official link: </w:t>
      </w:r>
      <w:r>
        <w:t>https://business.gov.au/grants-and-programs/research-and-development-tax-incentive/sector-guides-for-r-and-d-tax-incentive-applicants/agrifood</w:t>
      </w:r>
    </w:p>
    <w:p>
      <w:r>
        <w:t>Official agrifood-specific guidance for self-assessing R&amp;D Tax Incentive eligibility. It discusses software and AI activities in an agrifood context and stresses that final eligibility is assessed against the legislation.</w:t>
      </w:r>
    </w:p>
    <w:p>
      <w:r>
        <w:rPr>
          <w:b/>
        </w:rPr>
        <w:t xml:space="preserve">QAI relevance: </w:t>
      </w:r>
      <w:r>
        <w:t>Potential QAI fit: Digital Farm R&amp;D, AI/QAI experiments, modelling and experimental activities where they satisfy the legislative requirements.</w:t>
      </w:r>
    </w:p>
    <w:p>
      <w:pPr>
        <w:pStyle w:val="Heading1"/>
      </w:pPr>
      <w:r>
        <w:t>14. Future Drought Fund — Overall Program</w:t>
      </w:r>
    </w:p>
    <w:p>
      <w:r>
        <w:rPr>
          <w:b/>
        </w:rPr>
        <w:t xml:space="preserve">Official link: </w:t>
      </w:r>
      <w:r>
        <w:t>https://www.agriculture.gov.au/ag-farm-food/drought/future-drought-fund</w:t>
      </w:r>
    </w:p>
    <w:p>
      <w:r>
        <w:t>Overall federal drought-resilience funding ecosystem. Current program areas include innovation challenges, long-term trials, resilient landscapes, commercialisation, adoption/innovation hubs and scaling success.</w:t>
      </w:r>
    </w:p>
    <w:p>
      <w:r>
        <w:rPr>
          <w:b/>
        </w:rPr>
        <w:t xml:space="preserve">QAI relevance: </w:t>
      </w:r>
      <w:r>
        <w:t>Strategic use: maintain a recurring search rather than treating one closed round as the only opportunity.</w:t>
      </w:r>
    </w:p>
    <w:p>
      <w:pPr>
        <w:pStyle w:val="Heading1"/>
      </w:pPr>
      <w:r>
        <w:t>15. University Collaboration Model</w:t>
      </w:r>
    </w:p>
    <w:p>
      <w:r>
        <w:t>The funding landscape suggests a consortium model is often more useful than a standalone startup application. A potential structure is:</w:t>
      </w:r>
    </w:p>
    <w:p>
      <w:pPr>
        <w:pStyle w:val="ListBullet"/>
      </w:pPr>
      <w:r>
        <w:t>Bhadale IT / QAI — technology architecture, CPS/Digital Twin, AI/QAI engineering and commercialisation.</w:t>
      </w:r>
    </w:p>
    <w:p>
      <w:pPr>
        <w:pStyle w:val="ListBullet"/>
      </w:pPr>
      <w:r>
        <w:t>Australian university/research organisation — independent research capability, facilities, researchers and experimental validation.</w:t>
      </w:r>
    </w:p>
    <w:p>
      <w:pPr>
        <w:pStyle w:val="ListBullet"/>
      </w:pPr>
      <w:r>
        <w:t>Australian industry/end user — real operational problem, data/environment and adoption pathway.</w:t>
      </w:r>
    </w:p>
    <w:p>
      <w:pPr>
        <w:pStyle w:val="ListBullet"/>
      </w:pPr>
      <w:r>
        <w:t>South Australian Government or relevant agency — where an appropriate co-design, reference-customer or regional-development pathway exists.</w:t>
      </w:r>
    </w:p>
    <w:p>
      <w:pPr>
        <w:pStyle w:val="ListBullet"/>
      </w:pPr>
      <w:r>
        <w:t>Potential specialist partners — cybersecurity/PQC, quantum technology, agriculture, water, energy or communications.</w:t>
      </w:r>
    </w:p>
    <w:p>
      <w:pPr>
        <w:pStyle w:val="Heading1"/>
      </w:pPr>
      <w:r>
        <w:t>16. Two Primary QAI South Australia Tracks</w:t>
      </w:r>
    </w:p>
    <w:p>
      <w:pPr>
        <w:pStyle w:val="Heading2"/>
      </w:pPr>
      <w:r>
        <w:t>Track A — Quantum / PQC / Critical Technology</w:t>
      </w:r>
    </w:p>
    <w:p>
      <w:r>
        <w:t>Problem → critical infrastructure/security → quantum-safe/PQC transition → secure CPS/Digital Twin → research validation → Australian end user → feasibility → demonstrator → commercialisation.</w:t>
      </w:r>
    </w:p>
    <w:p>
      <w:r>
        <w:t>Potential themes: PQC migration of brownfield systems; quantum-safe IoT/CPS; secure Digital Twin communications; quantum-secure regional infrastructure; hybrid quantum/classical security architectures; and critical-infrastructure resilience.</w:t>
      </w:r>
    </w:p>
    <w:p>
      <w:pPr>
        <w:pStyle w:val="Heading2"/>
      </w:pPr>
      <w:r>
        <w:t>Track B — QAI Digital Agriculture</w:t>
      </w:r>
    </w:p>
    <w:p>
      <w:r>
        <w:t>Farm problem → virtualisation/emulation → CPS workflow → open/closed-loop simulation → classical baseline → AI/QAI evaluation → measured value → field/research validation → commercial Digital Farm service.</w:t>
      </w:r>
    </w:p>
    <w:p>
      <w:r>
        <w:t>Potential themes: water optimisation, drought resilience, resource efficiency, crop/livestock decision support, soil and landscape modelling, agricultural logistics, climate resilience and regional Digital Twins.</w:t>
      </w:r>
    </w:p>
    <w:p>
      <w:pPr>
        <w:pStyle w:val="Heading1"/>
      </w:pPr>
      <w:r>
        <w:t>17. Three Funding Mechanisms to Keep Separate</w:t>
      </w:r>
    </w:p>
    <w:p>
      <w:pPr>
        <w:pStyle w:val="ListBullet"/>
      </w:pPr>
      <w:r>
        <w:t>Grant funding — government contributes funding to an approved project under program rules.</w:t>
      </w:r>
    </w:p>
    <w:p>
      <w:pPr>
        <w:pStyle w:val="ListBullet"/>
      </w:pPr>
      <w:r>
        <w:t>Research collaboration — university/research organisation contributes capability, facilities, researchers and/or project participation.</w:t>
      </w:r>
    </w:p>
    <w:p>
      <w:pPr>
        <w:pStyle w:val="ListBullet"/>
      </w:pPr>
      <w:r>
        <w:t>R&amp;D Tax Incentive — tax mechanism for eligible Australian R&amp;D activities and expenditure; not a grant and subject to separate statutory requirements.</w:t>
      </w:r>
    </w:p>
    <w:p>
      <w:r>
        <w:t>Do not assume that grants, research subsidies and tax incentives can automatically be combined or claimed for the same expenditure. Eligibility, eligible expenditure, project location, IP ownership, timing and record-keeping should be checked for each program.</w:t>
      </w:r>
    </w:p>
    <w:p>
      <w:pPr>
        <w:pStyle w:val="Heading1"/>
      </w:pPr>
      <w:r>
        <w:t>18. Suggested Adelaide Opportunity Architecture</w:t>
      </w:r>
    </w:p>
    <w:p>
      <w:r>
        <w:t>QAI–FAEP Canonical Architecture → Security/Trust → Logical CPS → Domain Application → Economic Outcome</w:t>
      </w:r>
    </w:p>
    <w:p>
      <w:r>
        <w:t>Security/Trust: PQC, identity, secure communications and governance.</w:t>
      </w:r>
    </w:p>
    <w:p>
      <w:r>
        <w:t>Logical CPS: Digital Twin, workflow semantics, AI/QAI, optimisation, simulation and decision support.</w:t>
      </w:r>
    </w:p>
    <w:p>
      <w:r>
        <w:t>Domains: Agriculture, water, energy, infrastructure, government and regional ecosystems.</w:t>
      </w:r>
    </w:p>
    <w:p>
      <w:r>
        <w:t>Economic outcomes: productivity, resilience, sustainability, regional development, investment and employment.</w:t>
      </w:r>
    </w:p>
    <w:p>
      <w:pPr>
        <w:pStyle w:val="Heading1"/>
      </w:pPr>
      <w:r>
        <w:t>19. NIV and Commercialisation — Important Distinction</w:t>
      </w:r>
    </w:p>
    <w:p>
      <w:r>
        <w:t>The National Innovation Visa should be treated as a separate immigration pathway. A grant, university relationship or Adelaide location does not by itself establish NIV eligibility or guarantee an invitation. The stronger strategic approach is to build genuine Australian technical/commercial activity, research collaboration, independently verifiable achievements, customers/partners and evidence of contribution; immigration can then be assessed separately.</w:t>
      </w:r>
    </w:p>
    <w:p>
      <w:pPr>
        <w:pStyle w:val="Heading1"/>
      </w:pPr>
      <w:r>
        <w:t>20. Recommended Next Actions</w:t>
      </w:r>
    </w:p>
    <w:p>
      <w:r>
        <w:t>1. Create a dedicated South Australia QAI Funding &amp; University Partnership Register.</w:t>
      </w:r>
    </w:p>
    <w:p>
      <w:r>
        <w:t>2. Separate opportunities into Quantum/PQC, AgTech/Digital Farm, Regional Economic Development and R&amp;D Tax Incentive.</w:t>
      </w:r>
    </w:p>
    <w:p>
      <w:r>
        <w:t>3. Identify Adelaide research groups and universities whose capabilities match each track.</w:t>
      </w:r>
    </w:p>
    <w:p>
      <w:r>
        <w:t>4. Prepare a one-page QAI capability brief and a separate one-page problem statement for PQC/critical infrastructure.</w:t>
      </w:r>
    </w:p>
    <w:p>
      <w:r>
        <w:t>5. Prepare a Digital Farm research/commercialisation concept using the existing pilot roadmap and evidence.</w:t>
      </w:r>
    </w:p>
    <w:p>
      <w:r>
        <w:t>6. Identify potential SA government/industry end users for a reference project.</w:t>
      </w:r>
    </w:p>
    <w:p>
      <w:r>
        <w:t>7. Check current and upcoming RIF, CTCP, primary-industry and FDF opportunities before committing to any application.</w:t>
      </w:r>
    </w:p>
    <w:p>
      <w:r>
        <w:t>8. Have an Australian accountant/R&amp;D tax specialist review the R&amp;D Tax Incentive structure before making claims.</w:t>
      </w:r>
    </w:p>
    <w:p>
      <w:r>
        <w:t>9. Use the first funded project to build technical evidence and Australian commercialisation references rather than treating the grant as the end goal.</w:t>
      </w:r>
    </w:p>
    <w:p>
      <w:pPr>
        <w:pStyle w:val="Heading1"/>
      </w:pPr>
      <w:r>
        <w:t>21. Important Status Note</w:t>
      </w:r>
    </w:p>
    <w:p>
      <w:r>
        <w:t>This document is a planning register, not an eligibility determination. Several programs discussed have closed current rounds or operate through periodic competitive rounds. Funding amounts, eligibility, consortium rules and deadlines can change. Always use the linked official program page and current guidelines when preparing an application.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