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QAI Founder Financial Sustainability &amp; Strategic Exit Plan</w:t>
      </w:r>
    </w:p>
    <w:p>
      <w:pPr>
        <w:jc w:val="center"/>
      </w:pPr>
      <w:r>
        <w:rPr>
          <w:i/>
        </w:rPr>
        <w:t>Living-Cost Risk Mitigation • Asset-Based Capitalisation • Leadership Continuity • Strategic Exit</w:t>
      </w:r>
    </w:p>
    <w:p>
      <w:pPr>
        <w:jc w:val="center"/>
      </w:pPr>
      <w:r>
        <w:rPr>
          <w:b/>
        </w:rPr>
        <w:t>Planning reference — not tax, legal, immigration or investment advice</w:t>
      </w:r>
    </w:p>
    <w:p>
      <w:pPr>
        <w:pStyle w:val="Heading1"/>
      </w:pPr>
      <w:r>
        <w:t>1. Purpose</w:t>
      </w:r>
    </w:p>
    <w:p>
      <w:r>
        <w:t>This framework addresses the founder's practical problem of maintaining personal and minimum business financial sustainability while building QAI, without assuming that grants, sales or external borrowing will arrive when needed. The strategy is to establish a minimum cash requirement, protect essential runway, use available company assets to create legitimate commercial value, and consider a structured capitalisation/exit transaction that can provide liquidity while preserving the founder's senior technology or program leadership role.</w:t>
      </w:r>
    </w:p>
    <w:p>
      <w:pPr>
        <w:pStyle w:val="Heading1"/>
      </w:pPr>
      <w:r>
        <w:t>2. Financial Problem</w:t>
      </w:r>
    </w:p>
    <w:p>
      <w:r>
        <w:t>Fixed or relatively sticky costs can continue while major income sources remain uncertain. Grants are competitive and restricted; sales depend on customers and procurement cycles; investment is uncertain; and startup valuation is not itself cash. The core risk is therefore a liquidity mismatch.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Category</w:t>
            </w:r>
          </w:p>
        </w:tc>
        <w:tc>
          <w:tcPr>
            <w:tcW w:type="dxa" w:w="3408"/>
            <w:shd w:fill="D9EAF7"/>
          </w:tcPr>
          <w:p>
            <w:r>
              <w:rPr>
                <w:b/>
              </w:rPr>
              <w:t>Characteristics</w:t>
            </w:r>
          </w:p>
        </w:tc>
        <w:tc>
          <w:tcPr>
            <w:tcW w:type="dxa" w:w="3408"/>
            <w:shd w:fill="D9EAF7"/>
          </w:tcPr>
          <w:p>
            <w:r>
              <w:rPr>
                <w:b/>
              </w:rPr>
              <w:t>Planning treatment</w:t>
            </w:r>
          </w:p>
        </w:tc>
      </w:tr>
      <w:tr>
        <w:tc>
          <w:tcPr>
            <w:tcW w:type="dxa" w:w="3408"/>
          </w:tcPr>
          <w:p>
            <w:r>
              <w:t>Personal living costs</w:t>
            </w:r>
          </w:p>
        </w:tc>
        <w:tc>
          <w:tcPr>
            <w:tcW w:type="dxa" w:w="3408"/>
          </w:tcPr>
          <w:p>
            <w:r>
              <w:t>Recurring</w:t>
            </w:r>
          </w:p>
        </w:tc>
        <w:tc>
          <w:tcPr>
            <w:tcW w:type="dxa" w:w="3408"/>
          </w:tcPr>
          <w:p>
            <w:r>
              <w:t>Protect with liquid reserve and predictable income</w:t>
            </w:r>
          </w:p>
        </w:tc>
      </w:tr>
      <w:tr>
        <w:tc>
          <w:tcPr>
            <w:tcW w:type="dxa" w:w="3408"/>
          </w:tcPr>
          <w:p>
            <w:r>
              <w:t>Minimum company costs</w:t>
            </w:r>
          </w:p>
        </w:tc>
        <w:tc>
          <w:tcPr>
            <w:tcW w:type="dxa" w:w="3408"/>
          </w:tcPr>
          <w:p>
            <w:r>
              <w:t>Recurring obligations</w:t>
            </w:r>
          </w:p>
        </w:tc>
        <w:tc>
          <w:tcPr>
            <w:tcW w:type="dxa" w:w="3408"/>
          </w:tcPr>
          <w:p>
            <w:r>
              <w:t>Keep a lean operating baseline</w:t>
            </w:r>
          </w:p>
        </w:tc>
      </w:tr>
      <w:tr>
        <w:tc>
          <w:tcPr>
            <w:tcW w:type="dxa" w:w="3408"/>
          </w:tcPr>
          <w:p>
            <w:r>
              <w:t>Local staff</w:t>
            </w:r>
          </w:p>
        </w:tc>
        <w:tc>
          <w:tcPr>
            <w:tcW w:type="dxa" w:w="3408"/>
          </w:tcPr>
          <w:p>
            <w:r>
              <w:t>Recurring employment cost</w:t>
            </w:r>
          </w:p>
        </w:tc>
        <w:tc>
          <w:tcPr>
            <w:tcW w:type="dxa" w:w="3408"/>
          </w:tcPr>
          <w:p>
            <w:r>
              <w:t>Fund from sustainable company income where possible</w:t>
            </w:r>
          </w:p>
        </w:tc>
      </w:tr>
      <w:tr>
        <w:tc>
          <w:tcPr>
            <w:tcW w:type="dxa" w:w="3408"/>
          </w:tcPr>
          <w:p>
            <w:r>
              <w:t>Grants</w:t>
            </w:r>
          </w:p>
        </w:tc>
        <w:tc>
          <w:tcPr>
            <w:tcW w:type="dxa" w:w="3408"/>
          </w:tcPr>
          <w:p>
            <w:r>
              <w:t>Competitive/restricted</w:t>
            </w:r>
          </w:p>
        </w:tc>
        <w:tc>
          <w:tcPr>
            <w:tcW w:type="dxa" w:w="3408"/>
          </w:tcPr>
          <w:p>
            <w:r>
              <w:t>Treat as upside/project funding, not survival income</w:t>
            </w:r>
          </w:p>
        </w:tc>
      </w:tr>
      <w:tr>
        <w:tc>
          <w:tcPr>
            <w:tcW w:type="dxa" w:w="3408"/>
          </w:tcPr>
          <w:p>
            <w:r>
              <w:t>Sales</w:t>
            </w:r>
          </w:p>
        </w:tc>
        <w:tc>
          <w:tcPr>
            <w:tcW w:type="dxa" w:w="3408"/>
          </w:tcPr>
          <w:p>
            <w:r>
              <w:t>Uncertain timing</w:t>
            </w:r>
          </w:p>
        </w:tc>
        <w:tc>
          <w:tcPr>
            <w:tcW w:type="dxa" w:w="3408"/>
          </w:tcPr>
          <w:p>
            <w:r>
              <w:t>Do not rely on uncontracted pipeline</w:t>
            </w:r>
          </w:p>
        </w:tc>
      </w:tr>
      <w:tr>
        <w:tc>
          <w:tcPr>
            <w:tcW w:type="dxa" w:w="3408"/>
          </w:tcPr>
          <w:p>
            <w:r>
              <w:t>External loans</w:t>
            </w:r>
          </w:p>
        </w:tc>
        <w:tc>
          <w:tcPr>
            <w:tcW w:type="dxa" w:w="3408"/>
          </w:tcPr>
          <w:p>
            <w:r>
              <w:t>Create repayment obligations</w:t>
            </w:r>
          </w:p>
        </w:tc>
        <w:tc>
          <w:tcPr>
            <w:tcW w:type="dxa" w:w="3408"/>
          </w:tcPr>
          <w:p>
            <w:r>
              <w:t>Do not make primary survival mechanism</w:t>
            </w:r>
          </w:p>
        </w:tc>
      </w:tr>
      <w:tr>
        <w:tc>
          <w:tcPr>
            <w:tcW w:type="dxa" w:w="3408"/>
          </w:tcPr>
          <w:p>
            <w:r>
              <w:t>Startup valuation</w:t>
            </w:r>
          </w:p>
        </w:tc>
        <w:tc>
          <w:tcPr>
            <w:tcW w:type="dxa" w:w="3408"/>
          </w:tcPr>
          <w:p>
            <w:r>
              <w:t>Potentially illiquid</w:t>
            </w:r>
          </w:p>
        </w:tc>
        <w:tc>
          <w:tcPr>
            <w:tcW w:type="dxa" w:w="3408"/>
          </w:tcPr>
          <w:p>
            <w:r>
              <w:t>Convert to liquidity only through legitimate transaction</w:t>
            </w:r>
          </w:p>
        </w:tc>
      </w:tr>
      <w:tr>
        <w:tc>
          <w:tcPr>
            <w:tcW w:type="dxa" w:w="3408"/>
          </w:tcPr>
          <w:p>
            <w:r>
              <w:t>Company assets/IP</w:t>
            </w:r>
          </w:p>
        </w:tc>
        <w:tc>
          <w:tcPr>
            <w:tcW w:type="dxa" w:w="3408"/>
          </w:tcPr>
          <w:p>
            <w:r>
              <w:t>Potential value but illiquid</w:t>
            </w:r>
          </w:p>
        </w:tc>
        <w:tc>
          <w:tcPr>
            <w:tcW w:type="dxa" w:w="3408"/>
          </w:tcPr>
          <w:p>
            <w:r>
              <w:t>Productise, license, sell or transact strategically</w:t>
            </w:r>
          </w:p>
        </w:tc>
      </w:tr>
    </w:tbl>
    <w:p/>
    <w:p>
      <w:pPr>
        <w:pStyle w:val="Heading1"/>
      </w:pPr>
      <w:r>
        <w:t>3. Minimum Sustainable QAI Operation</w:t>
      </w:r>
    </w:p>
    <w:p>
      <w:r>
        <w:t>Define a Minimum Sustainable QAI Operation (MSQO): the minimum combination of founder living costs, local personnel and essential business expenses required to maintain a genuine operating presence without indefinitely depending on grants or borrowing.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Runway</w:t>
            </w:r>
          </w:p>
        </w:tc>
        <w:tc>
          <w:tcPr>
            <w:tcW w:type="dxa" w:w="3408"/>
            <w:shd w:fill="D9EAF7"/>
          </w:tcPr>
          <w:p>
            <w:r>
              <w:rPr>
                <w:b/>
              </w:rPr>
              <w:t>Illustrative minimum at $4,000/month</w:t>
            </w:r>
          </w:p>
        </w:tc>
        <w:tc>
          <w:tcPr>
            <w:tcW w:type="dxa" w:w="3408"/>
            <w:shd w:fill="D9EAF7"/>
          </w:tcPr>
          <w:p>
            <w:r>
              <w:rPr>
                <w:b/>
              </w:rPr>
              <w:t>Purpose</w:t>
            </w:r>
          </w:p>
        </w:tc>
      </w:tr>
      <w:tr>
        <w:tc>
          <w:tcPr>
            <w:tcW w:type="dxa" w:w="3408"/>
          </w:tcPr>
          <w:p>
            <w:r>
              <w:t>12 months</w:t>
            </w:r>
          </w:p>
        </w:tc>
        <w:tc>
          <w:tcPr>
            <w:tcW w:type="dxa" w:w="3408"/>
          </w:tcPr>
          <w:p>
            <w:r>
              <w:t>$48,000</w:t>
            </w:r>
          </w:p>
        </w:tc>
        <w:tc>
          <w:tcPr>
            <w:tcW w:type="dxa" w:w="3408"/>
          </w:tcPr>
          <w:p>
            <w:r>
              <w:t>Immediate survival/transition reserve</w:t>
            </w:r>
          </w:p>
        </w:tc>
      </w:tr>
      <w:tr>
        <w:tc>
          <w:tcPr>
            <w:tcW w:type="dxa" w:w="3408"/>
          </w:tcPr>
          <w:p>
            <w:r>
              <w:t>24 months</w:t>
            </w:r>
          </w:p>
        </w:tc>
        <w:tc>
          <w:tcPr>
            <w:tcW w:type="dxa" w:w="3408"/>
          </w:tcPr>
          <w:p>
            <w:r>
              <w:t>$96,000</w:t>
            </w:r>
          </w:p>
        </w:tc>
        <w:tc>
          <w:tcPr>
            <w:tcW w:type="dxa" w:w="3408"/>
          </w:tcPr>
          <w:p>
            <w:r>
              <w:t>Medium-term transition reserve</w:t>
            </w:r>
          </w:p>
        </w:tc>
      </w:tr>
      <w:tr>
        <w:tc>
          <w:tcPr>
            <w:tcW w:type="dxa" w:w="3408"/>
          </w:tcPr>
          <w:p>
            <w:r>
              <w:t>36 months</w:t>
            </w:r>
          </w:p>
        </w:tc>
        <w:tc>
          <w:tcPr>
            <w:tcW w:type="dxa" w:w="3408"/>
          </w:tcPr>
          <w:p>
            <w:r>
              <w:t>$144,000</w:t>
            </w:r>
          </w:p>
        </w:tc>
        <w:tc>
          <w:tcPr>
            <w:tcW w:type="dxa" w:w="3408"/>
          </w:tcPr>
          <w:p>
            <w:r>
              <w:t>Three-year minimum operating horizon</w:t>
            </w:r>
          </w:p>
        </w:tc>
      </w:tr>
    </w:tbl>
    <w:p/>
    <w:p>
      <w:r>
        <w:t>These are planning illustrations based on the stated $4,000/month assumption. They are not a recommended budget and should be recalculated in the actual currency and jurisdiction. Add contingency for tax, relocation, travel, professional fees, insurance/health costs and unexpected business expenses.</w:t>
      </w:r>
    </w:p>
    <w:p>
      <w:pPr>
        <w:pStyle w:val="Heading1"/>
      </w:pPr>
      <w:r>
        <w:t>4. Three Financial Pools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Pool</w:t>
            </w:r>
          </w:p>
        </w:tc>
        <w:tc>
          <w:tcPr>
            <w:tcW w:type="dxa" w:w="3408"/>
            <w:shd w:fill="D9EAF7"/>
          </w:tcPr>
          <w:p>
            <w:r>
              <w:rPr>
                <w:b/>
              </w:rPr>
              <w:t>Objective</w:t>
            </w:r>
          </w:p>
        </w:tc>
        <w:tc>
          <w:tcPr>
            <w:tcW w:type="dxa" w:w="3408"/>
            <w:shd w:fill="D9EAF7"/>
          </w:tcPr>
          <w:p>
            <w:r>
              <w:rPr>
                <w:b/>
              </w:rPr>
              <w:t>Examples</w:t>
            </w:r>
          </w:p>
        </w:tc>
      </w:tr>
      <w:tr>
        <w:tc>
          <w:tcPr>
            <w:tcW w:type="dxa" w:w="3408"/>
          </w:tcPr>
          <w:p>
            <w:r>
              <w:t>Personal survival</w:t>
            </w:r>
          </w:p>
        </w:tc>
        <w:tc>
          <w:tcPr>
            <w:tcW w:type="dxa" w:w="3408"/>
          </w:tcPr>
          <w:p>
            <w:r>
              <w:t>Protect essential household expenditure</w:t>
            </w:r>
          </w:p>
        </w:tc>
        <w:tc>
          <w:tcPr>
            <w:tcW w:type="dxa" w:w="3408"/>
          </w:tcPr>
          <w:p>
            <w:r>
              <w:t>Cash, savings, deposits/term deposits, highly liquid lower-risk assets</w:t>
            </w:r>
          </w:p>
        </w:tc>
      </w:tr>
      <w:tr>
        <w:tc>
          <w:tcPr>
            <w:tcW w:type="dxa" w:w="3408"/>
          </w:tcPr>
          <w:p>
            <w:r>
              <w:t>Company operating</w:t>
            </w:r>
          </w:p>
        </w:tc>
        <w:tc>
          <w:tcPr>
            <w:tcW w:type="dxa" w:w="3408"/>
          </w:tcPr>
          <w:p>
            <w:r>
              <w:t>Keep QAI functioning</w:t>
            </w:r>
          </w:p>
        </w:tc>
        <w:tc>
          <w:tcPr>
            <w:tcW w:type="dxa" w:w="3408"/>
          </w:tcPr>
          <w:p>
            <w:r>
              <w:t>Payroll, accounting, workspace, software, communications, minimum infrastructure</w:t>
            </w:r>
          </w:p>
        </w:tc>
      </w:tr>
      <w:tr>
        <w:tc>
          <w:tcPr>
            <w:tcW w:type="dxa" w:w="3408"/>
          </w:tcPr>
          <w:p>
            <w:r>
              <w:t>Project/grant</w:t>
            </w:r>
          </w:p>
        </w:tc>
        <w:tc>
          <w:tcPr>
            <w:tcW w:type="dxa" w:w="3408"/>
          </w:tcPr>
          <w:p>
            <w:r>
              <w:t>Fund approved project activities</w:t>
            </w:r>
          </w:p>
        </w:tc>
        <w:tc>
          <w:tcPr>
            <w:tcW w:type="dxa" w:w="3408"/>
          </w:tcPr>
          <w:p>
            <w:r>
              <w:t>QPU/HPC, cloud, testing, equipment, eligible personnel</w:t>
            </w:r>
          </w:p>
        </w:tc>
      </w:tr>
    </w:tbl>
    <w:p/>
    <w:p>
      <w:r>
        <w:t>These pools should not be mixed. A grant budget is not a substitute for personal liquidity, and personal investments should not automatically be treated as company working capital.</w:t>
      </w:r>
    </w:p>
    <w:p>
      <w:pPr>
        <w:pStyle w:val="Heading1"/>
      </w:pPr>
      <w:r>
        <w:t>5. Cash-Flow Hedging</w:t>
      </w:r>
    </w:p>
    <w:p>
      <w:pPr>
        <w:pStyle w:val="ListBullet"/>
      </w:pPr>
      <w:r>
        <w:t>Maintain a liquid reserve for near-term personal and essential business expenses.</w:t>
      </w:r>
    </w:p>
    <w:p>
      <w:pPr>
        <w:pStyle w:val="ListBullet"/>
      </w:pPr>
      <w:r>
        <w:t>Use a second conservative reserve for the following 12–24 months where appropriate.</w:t>
      </w:r>
    </w:p>
    <w:p>
      <w:pPr>
        <w:pStyle w:val="ListBullet"/>
      </w:pPr>
      <w:r>
        <w:t>Keep longer-term growth assets separate from the survival reserve.</w:t>
      </w:r>
    </w:p>
    <w:p>
      <w:pPr>
        <w:pStyle w:val="ListBullet"/>
      </w:pPr>
      <w:r>
        <w:t>Progressively match some assets to the currency of expected future expenses.</w:t>
      </w:r>
    </w:p>
    <w:p>
      <w:pPr>
        <w:pStyle w:val="ListBullet"/>
      </w:pPr>
      <w:r>
        <w:t>Do not rely on market appreciation to pay next month's fixed expenses.</w:t>
      </w:r>
    </w:p>
    <w:p>
      <w:pPr>
        <w:pStyle w:val="ListBullet"/>
      </w:pPr>
      <w:r>
        <w:t>Do not treat unawarded grants or uncontracted sales as cash.</w:t>
      </w:r>
    </w:p>
    <w:p>
      <w:pPr>
        <w:pStyle w:val="ListBullet"/>
      </w:pPr>
      <w:r>
        <w:t>Review runway monthly and trigger action before the reserve reaches a critical level.</w:t>
      </w:r>
    </w:p>
    <w:p>
      <w:pPr>
        <w:pStyle w:val="Heading1"/>
      </w:pPr>
      <w:r>
        <w:t>6. Asset-Based Capitalisation</w:t>
      </w:r>
    </w:p>
    <w:p>
      <w:r>
        <w:t>When cash is limited, identify assets that can create value or liquidity without destroying the core technology platform.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Asset</w:t>
            </w:r>
          </w:p>
        </w:tc>
        <w:tc>
          <w:tcPr>
            <w:tcW w:type="dxa" w:w="3408"/>
            <w:shd w:fill="D9EAF7"/>
          </w:tcPr>
          <w:p>
            <w:r>
              <w:rPr>
                <w:b/>
              </w:rPr>
              <w:t>Potential value path</w:t>
            </w:r>
          </w:p>
        </w:tc>
        <w:tc>
          <w:tcPr>
            <w:tcW w:type="dxa" w:w="3408"/>
            <w:shd w:fill="D9EAF7"/>
          </w:tcPr>
          <w:p>
            <w:r>
              <w:rPr>
                <w:b/>
              </w:rPr>
              <w:t>Preservation consideration</w:t>
            </w:r>
          </w:p>
        </w:tc>
      </w:tr>
      <w:tr>
        <w:tc>
          <w:tcPr>
            <w:tcW w:type="dxa" w:w="3408"/>
          </w:tcPr>
          <w:p>
            <w:r>
              <w:t>Canonical QAI architecture</w:t>
            </w:r>
          </w:p>
        </w:tc>
        <w:tc>
          <w:tcPr>
            <w:tcW w:type="dxa" w:w="3408"/>
          </w:tcPr>
          <w:p>
            <w:r>
              <w:t>Licence, strategic investment, acquisition value</w:t>
            </w:r>
          </w:p>
        </w:tc>
        <w:tc>
          <w:tcPr>
            <w:tcW w:type="dxa" w:w="3408"/>
          </w:tcPr>
          <w:p>
            <w:r>
              <w:t>Retain core reusable IP where appropriate</w:t>
            </w:r>
          </w:p>
        </w:tc>
      </w:tr>
      <w:tr>
        <w:tc>
          <w:tcPr>
            <w:tcW w:type="dxa" w:w="3408"/>
          </w:tcPr>
          <w:p>
            <w:r>
              <w:t>QAI products/frameworks</w:t>
            </w:r>
          </w:p>
        </w:tc>
        <w:tc>
          <w:tcPr>
            <w:tcW w:type="dxa" w:w="3408"/>
          </w:tcPr>
          <w:p>
            <w:r>
              <w:t>Product sale, licence, subscription, acquisition</w:t>
            </w:r>
          </w:p>
        </w:tc>
        <w:tc>
          <w:tcPr>
            <w:tcW w:type="dxa" w:w="3408"/>
          </w:tcPr>
          <w:p>
            <w:r>
              <w:t>Separate generic IP from client-specific deliverables</w:t>
            </w:r>
          </w:p>
        </w:tc>
      </w:tr>
      <w:tr>
        <w:tc>
          <w:tcPr>
            <w:tcW w:type="dxa" w:w="3408"/>
          </w:tcPr>
          <w:p>
            <w:r>
              <w:t>Patents/IP candidates</w:t>
            </w:r>
          </w:p>
        </w:tc>
        <w:tc>
          <w:tcPr>
            <w:tcW w:type="dxa" w:w="3408"/>
          </w:tcPr>
          <w:p>
            <w:r>
              <w:t>Licence, assignment, strategic transaction</w:t>
            </w:r>
          </w:p>
        </w:tc>
        <w:tc>
          <w:tcPr>
            <w:tcW w:type="dxa" w:w="3408"/>
          </w:tcPr>
          <w:p>
            <w:r>
              <w:t>Confirm ownership, status and encumbrances</w:t>
            </w:r>
          </w:p>
        </w:tc>
      </w:tr>
      <w:tr>
        <w:tc>
          <w:tcPr>
            <w:tcW w:type="dxa" w:w="3408"/>
          </w:tcPr>
          <w:p>
            <w:r>
              <w:t>Engineering assets</w:t>
            </w:r>
          </w:p>
        </w:tc>
        <w:tc>
          <w:tcPr>
            <w:tcW w:type="dxa" w:w="3408"/>
          </w:tcPr>
          <w:p>
            <w:r>
              <w:t>Productisation, implementation packages, acquisition</w:t>
            </w:r>
          </w:p>
        </w:tc>
        <w:tc>
          <w:tcPr>
            <w:tcW w:type="dxa" w:w="3408"/>
          </w:tcPr>
          <w:p>
            <w:r>
              <w:t>Document provenance and reusable components</w:t>
            </w:r>
          </w:p>
        </w:tc>
      </w:tr>
      <w:tr>
        <w:tc>
          <w:tcPr>
            <w:tcW w:type="dxa" w:w="3408"/>
          </w:tcPr>
          <w:p>
            <w:r>
              <w:t>Validated pilot evidence</w:t>
            </w:r>
          </w:p>
        </w:tc>
        <w:tc>
          <w:tcPr>
            <w:tcW w:type="dxa" w:w="3408"/>
          </w:tcPr>
          <w:p>
            <w:r>
              <w:t>Reference customer, procurement, investment/transaction evidence</w:t>
            </w:r>
          </w:p>
        </w:tc>
        <w:tc>
          <w:tcPr>
            <w:tcW w:type="dxa" w:w="3408"/>
          </w:tcPr>
          <w:p>
            <w:r>
              <w:t>Maintain reproducibility and acceptance records</w:t>
            </w:r>
          </w:p>
        </w:tc>
      </w:tr>
      <w:tr>
        <w:tc>
          <w:tcPr>
            <w:tcW w:type="dxa" w:w="3408"/>
          </w:tcPr>
          <w:p>
            <w:r>
              <w:t>Commercial pipeline</w:t>
            </w:r>
          </w:p>
        </w:tc>
        <w:tc>
          <w:tcPr>
            <w:tcW w:type="dxa" w:w="3408"/>
          </w:tcPr>
          <w:p>
            <w:r>
              <w:t>Contracts, partnerships, strategic transaction</w:t>
            </w:r>
          </w:p>
        </w:tc>
        <w:tc>
          <w:tcPr>
            <w:tcW w:type="dxa" w:w="3408"/>
          </w:tcPr>
          <w:p>
            <w:r>
              <w:t>Verify contractual status</w:t>
            </w:r>
          </w:p>
        </w:tc>
      </w:tr>
      <w:tr>
        <w:tc>
          <w:tcPr>
            <w:tcW w:type="dxa" w:w="3408"/>
          </w:tcPr>
          <w:p>
            <w:r>
              <w:t>Domain solutions</w:t>
            </w:r>
          </w:p>
        </w:tc>
        <w:tc>
          <w:tcPr>
            <w:tcW w:type="dxa" w:w="3408"/>
          </w:tcPr>
          <w:p>
            <w:r>
              <w:t>Licence/SaaS/service or strategic acquisition</w:t>
            </w:r>
          </w:p>
        </w:tc>
        <w:tc>
          <w:tcPr>
            <w:tcW w:type="dxa" w:w="3408"/>
          </w:tcPr>
          <w:p>
            <w:r>
              <w:t>Separate QAI core from configuration</w:t>
            </w:r>
          </w:p>
        </w:tc>
      </w:tr>
      <w:tr>
        <w:tc>
          <w:tcPr>
            <w:tcW w:type="dxa" w:w="3408"/>
          </w:tcPr>
          <w:p>
            <w:r>
              <w:t>Brand/market presence</w:t>
            </w:r>
          </w:p>
        </w:tc>
        <w:tc>
          <w:tcPr>
            <w:tcW w:type="dxa" w:w="3408"/>
          </w:tcPr>
          <w:p>
            <w:r>
              <w:t>Customer acquisition and strategic value</w:t>
            </w:r>
          </w:p>
        </w:tc>
        <w:tc>
          <w:tcPr>
            <w:tcW w:type="dxa" w:w="3408"/>
          </w:tcPr>
          <w:p>
            <w:r>
              <w:t>Protect reputation and evidence</w:t>
            </w:r>
          </w:p>
        </w:tc>
      </w:tr>
    </w:tbl>
    <w:p/>
    <w:p>
      <w:pPr>
        <w:pStyle w:val="Heading1"/>
      </w:pPr>
      <w:r>
        <w:t>7. Strategic Exit / Reappointment Concept</w:t>
      </w:r>
    </w:p>
    <w:p>
      <w:r>
        <w:t>One possible capitalisation structure is a strategic transaction in which sufficient company value is realised to improve founder liquidity while the founder remains involved as a senior technology, innovation or program leader. This is not guaranteed and requires transaction-specific legal, tax, corporate and employment advice.</w:t>
      </w:r>
    </w:p>
    <w:p>
      <w:r>
        <w:rPr>
          <w:b/>
        </w:rPr>
        <w:t xml:space="preserve">Conceptual sequence: </w:t>
      </w:r>
      <w:r>
        <w:t>Build → Validate → Commercialise → Capitalise → Transaction → Leadership Continuity → Scale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Stakeholder</w:t>
            </w:r>
          </w:p>
        </w:tc>
        <w:tc>
          <w:tcPr>
            <w:tcW w:type="dxa" w:w="5112"/>
            <w:shd w:fill="D9EAF7"/>
          </w:tcPr>
          <w:p>
            <w:r>
              <w:rPr>
                <w:b/>
              </w:rPr>
              <w:t>Potential objective</w:t>
            </w:r>
          </w:p>
        </w:tc>
      </w:tr>
      <w:tr>
        <w:tc>
          <w:tcPr>
            <w:tcW w:type="dxa" w:w="5112"/>
          </w:tcPr>
          <w:p>
            <w:r>
              <w:t>Founder</w:t>
            </w:r>
          </w:p>
        </w:tc>
        <w:tc>
          <w:tcPr>
            <w:tcW w:type="dxa" w:w="5112"/>
          </w:tcPr>
          <w:p>
            <w:r>
              <w:t>Liquidity, predictable compensation, continued leadership and possible retained upside</w:t>
            </w:r>
          </w:p>
        </w:tc>
      </w:tr>
      <w:tr>
        <w:tc>
          <w:tcPr>
            <w:tcW w:type="dxa" w:w="5112"/>
          </w:tcPr>
          <w:p>
            <w:r>
              <w:t>Acquirer/investor</w:t>
            </w:r>
          </w:p>
        </w:tc>
        <w:tc>
          <w:tcPr>
            <w:tcW w:type="dxa" w:w="5112"/>
          </w:tcPr>
          <w:p>
            <w:r>
              <w:t>Technology, IP, products, capability, market access and founder expertise</w:t>
            </w:r>
          </w:p>
        </w:tc>
      </w:tr>
      <w:tr>
        <w:tc>
          <w:tcPr>
            <w:tcW w:type="dxa" w:w="5112"/>
          </w:tcPr>
          <w:p>
            <w:r>
              <w:t>Employees</w:t>
            </w:r>
          </w:p>
        </w:tc>
        <w:tc>
          <w:tcPr>
            <w:tcW w:type="dxa" w:w="5112"/>
          </w:tcPr>
          <w:p>
            <w:r>
              <w:t>Continuity and growth path</w:t>
            </w:r>
          </w:p>
        </w:tc>
      </w:tr>
      <w:tr>
        <w:tc>
          <w:tcPr>
            <w:tcW w:type="dxa" w:w="5112"/>
          </w:tcPr>
          <w:p>
            <w:r>
              <w:t>Customers</w:t>
            </w:r>
          </w:p>
        </w:tc>
        <w:tc>
          <w:tcPr>
            <w:tcW w:type="dxa" w:w="5112"/>
          </w:tcPr>
          <w:p>
            <w:r>
              <w:t>Continuity of delivery and product development</w:t>
            </w:r>
          </w:p>
        </w:tc>
      </w:tr>
      <w:tr>
        <w:tc>
          <w:tcPr>
            <w:tcW w:type="dxa" w:w="5112"/>
          </w:tcPr>
          <w:p>
            <w:r>
              <w:t>Investors</w:t>
            </w:r>
          </w:p>
        </w:tc>
        <w:tc>
          <w:tcPr>
            <w:tcW w:type="dxa" w:w="5112"/>
          </w:tcPr>
          <w:p>
            <w:r>
              <w:t>Clearer commercialisation and governance</w:t>
            </w:r>
          </w:p>
        </w:tc>
      </w:tr>
    </w:tbl>
    <w:p/>
    <w:p>
      <w:pPr>
        <w:pStyle w:val="Heading1"/>
      </w:pPr>
      <w:r>
        <w:t>8. Transaction Structures to Investigate</w:t>
      </w:r>
    </w:p>
    <w:p>
      <w:pPr>
        <w:pStyle w:val="ListBullet"/>
      </w:pPr>
      <w:r>
        <w:t>Full or majority acquisition with founder continuing in a senior role.</w:t>
      </w:r>
    </w:p>
    <w:p>
      <w:pPr>
        <w:pStyle w:val="ListBullet"/>
      </w:pPr>
      <w:r>
        <w:t>Partial secondary sale with new strategic investment.</w:t>
      </w:r>
    </w:p>
    <w:p>
      <w:pPr>
        <w:pStyle w:val="ListBullet"/>
      </w:pPr>
      <w:r>
        <w:t>Strategic investment with founder employment/management agreement.</w:t>
      </w:r>
    </w:p>
    <w:p>
      <w:pPr>
        <w:pStyle w:val="ListBullet"/>
      </w:pPr>
      <w:r>
        <w:t>Asset/IP transaction combined with a continuing operating role, where appropriate.</w:t>
      </w:r>
    </w:p>
    <w:p>
      <w:pPr>
        <w:pStyle w:val="ListBullet"/>
      </w:pPr>
      <w:r>
        <w:t>Licensing transaction that creates liquidity while retaining selected core ownership.</w:t>
      </w:r>
    </w:p>
    <w:p>
      <w:pPr>
        <w:pStyle w:val="ListBullet"/>
      </w:pPr>
      <w:r>
        <w:t>Rollover equity or retained minority interest, where commercially and legally appropriate.</w:t>
      </w:r>
    </w:p>
    <w:p>
      <w:pPr>
        <w:pStyle w:val="ListBullet"/>
      </w:pPr>
      <w:r>
        <w:t>Earn-out/deferred consideration structures, recognising that they move some transaction risk into the future.</w:t>
      </w:r>
    </w:p>
    <w:p>
      <w:r>
        <w:t>These are transaction concepts, not recommendations for a specific deal. Advisers should model control, tax, valuation, dilution, consideration risk, employment terms, IP rights and post-transaction obligations.</w:t>
      </w:r>
    </w:p>
    <w:p>
      <w:pPr>
        <w:pStyle w:val="Heading1"/>
      </w:pPr>
      <w:r>
        <w:t>9. Transaction-Readiness Package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Area</w:t>
            </w:r>
          </w:p>
        </w:tc>
        <w:tc>
          <w:tcPr>
            <w:tcW w:type="dxa" w:w="5112"/>
            <w:shd w:fill="D9EAF7"/>
          </w:tcPr>
          <w:p>
            <w:r>
              <w:rPr>
                <w:b/>
              </w:rPr>
              <w:t>Evidence</w:t>
            </w:r>
          </w:p>
        </w:tc>
      </w:tr>
      <w:tr>
        <w:tc>
          <w:tcPr>
            <w:tcW w:type="dxa" w:w="5112"/>
          </w:tcPr>
          <w:p>
            <w:r>
              <w:t>Corporate</w:t>
            </w:r>
          </w:p>
        </w:tc>
        <w:tc>
          <w:tcPr>
            <w:tcW w:type="dxa" w:w="5112"/>
          </w:tcPr>
          <w:p>
            <w:r>
              <w:t>Entity structure, ownership, shareholder records, agreements</w:t>
            </w:r>
          </w:p>
        </w:tc>
      </w:tr>
      <w:tr>
        <w:tc>
          <w:tcPr>
            <w:tcW w:type="dxa" w:w="5112"/>
          </w:tcPr>
          <w:p>
            <w:r>
              <w:t>IP</w:t>
            </w:r>
          </w:p>
        </w:tc>
        <w:tc>
          <w:tcPr>
            <w:tcW w:type="dxa" w:w="5112"/>
          </w:tcPr>
          <w:p>
            <w:r>
              <w:t>IP register, assignments, patents, licences, open-source compliance</w:t>
            </w:r>
          </w:p>
        </w:tc>
      </w:tr>
      <w:tr>
        <w:tc>
          <w:tcPr>
            <w:tcW w:type="dxa" w:w="5112"/>
          </w:tcPr>
          <w:p>
            <w:r>
              <w:t>Technology</w:t>
            </w:r>
          </w:p>
        </w:tc>
        <w:tc>
          <w:tcPr>
            <w:tcW w:type="dxa" w:w="5112"/>
          </w:tcPr>
          <w:p>
            <w:r>
              <w:t>Architecture, product catalogue, repository controls, technical documentation</w:t>
            </w:r>
          </w:p>
        </w:tc>
      </w:tr>
      <w:tr>
        <w:tc>
          <w:tcPr>
            <w:tcW w:type="dxa" w:w="5112"/>
          </w:tcPr>
          <w:p>
            <w:r>
              <w:t>Commercial</w:t>
            </w:r>
          </w:p>
        </w:tc>
        <w:tc>
          <w:tcPr>
            <w:tcW w:type="dxa" w:w="5112"/>
          </w:tcPr>
          <w:p>
            <w:r>
              <w:t>Customers, pilots, proposals, contracts, pipeline and references</w:t>
            </w:r>
          </w:p>
        </w:tc>
      </w:tr>
      <w:tr>
        <w:tc>
          <w:tcPr>
            <w:tcW w:type="dxa" w:w="5112"/>
          </w:tcPr>
          <w:p>
            <w:r>
              <w:t>Financial</w:t>
            </w:r>
          </w:p>
        </w:tc>
        <w:tc>
          <w:tcPr>
            <w:tcW w:type="dxa" w:w="5112"/>
          </w:tcPr>
          <w:p>
            <w:r>
              <w:t>Accounts, budgets, forecasts, liabilities, grant records and cash</w:t>
            </w:r>
          </w:p>
        </w:tc>
      </w:tr>
      <w:tr>
        <w:tc>
          <w:tcPr>
            <w:tcW w:type="dxa" w:w="5112"/>
          </w:tcPr>
          <w:p>
            <w:r>
              <w:t>Grant compliance</w:t>
            </w:r>
          </w:p>
        </w:tc>
        <w:tc>
          <w:tcPr>
            <w:tcW w:type="dxa" w:w="5112"/>
          </w:tcPr>
          <w:p>
            <w:r>
              <w:t>Agreements, eligible-cost records, claims, reporting and obligations</w:t>
            </w:r>
          </w:p>
        </w:tc>
      </w:tr>
      <w:tr>
        <w:tc>
          <w:tcPr>
            <w:tcW w:type="dxa" w:w="5112"/>
          </w:tcPr>
          <w:p>
            <w:r>
              <w:t>People</w:t>
            </w:r>
          </w:p>
        </w:tc>
        <w:tc>
          <w:tcPr>
            <w:tcW w:type="dxa" w:w="5112"/>
          </w:tcPr>
          <w:p>
            <w:r>
              <w:t>Employment/contractor records and key-person dependencies</w:t>
            </w:r>
          </w:p>
        </w:tc>
      </w:tr>
      <w:tr>
        <w:tc>
          <w:tcPr>
            <w:tcW w:type="dxa" w:w="5112"/>
          </w:tcPr>
          <w:p>
            <w:r>
              <w:t>Security</w:t>
            </w:r>
          </w:p>
        </w:tc>
        <w:tc>
          <w:tcPr>
            <w:tcW w:type="dxa" w:w="5112"/>
          </w:tcPr>
          <w:p>
            <w:r>
              <w:t>Data, access, infrastructure, cybersecurity and compliance evidence</w:t>
            </w:r>
          </w:p>
        </w:tc>
      </w:tr>
      <w:tr>
        <w:tc>
          <w:tcPr>
            <w:tcW w:type="dxa" w:w="5112"/>
          </w:tcPr>
          <w:p>
            <w:r>
              <w:t>Valuation</w:t>
            </w:r>
          </w:p>
        </w:tc>
        <w:tc>
          <w:tcPr>
            <w:tcW w:type="dxa" w:w="5112"/>
          </w:tcPr>
          <w:p>
            <w:r>
              <w:t>Comparable evidence, revenue/IP basis, assets, pipeline and independent analysis</w:t>
            </w:r>
          </w:p>
        </w:tc>
      </w:tr>
      <w:tr>
        <w:tc>
          <w:tcPr>
            <w:tcW w:type="dxa" w:w="5112"/>
          </w:tcPr>
          <w:p>
            <w:r>
              <w:t>Strategy</w:t>
            </w:r>
          </w:p>
        </w:tc>
        <w:tc>
          <w:tcPr>
            <w:tcW w:type="dxa" w:w="5112"/>
          </w:tcPr>
          <w:p>
            <w:r>
              <w:t>Product roadmap, market opportunity, growth plan and integration scenarios</w:t>
            </w:r>
          </w:p>
        </w:tc>
      </w:tr>
    </w:tbl>
    <w:p/>
    <w:p>
      <w:pPr>
        <w:pStyle w:val="Heading1"/>
      </w:pPr>
      <w:r>
        <w:t>10. Marketing &amp; Sales Capital</w:t>
      </w:r>
    </w:p>
    <w:p>
      <w:r>
        <w:t>Marketing, validation and sales consume capital. The objective should be targeted transaction-readiness and customer evidence rather than broad uncontrolled spending.</w:t>
      </w:r>
    </w:p>
    <w:p>
      <w:pPr>
        <w:pStyle w:val="ListBullet"/>
      </w:pPr>
      <w:r>
        <w:t>Protect/document core IP before significant external promotion.</w:t>
      </w:r>
    </w:p>
    <w:p>
      <w:pPr>
        <w:pStyle w:val="ListBullet"/>
      </w:pPr>
      <w:r>
        <w:t>Develop a credible demonstration and evidence package.</w:t>
      </w:r>
    </w:p>
    <w:p>
      <w:pPr>
        <w:pStyle w:val="ListBullet"/>
      </w:pPr>
      <w:r>
        <w:t>Obtain independent technical/commercial validation where useful.</w:t>
      </w:r>
    </w:p>
    <w:p>
      <w:pPr>
        <w:pStyle w:val="ListBullet"/>
      </w:pPr>
      <w:r>
        <w:t>Target a small number of high-value customers/partners.</w:t>
      </w:r>
    </w:p>
    <w:p>
      <w:pPr>
        <w:pStyle w:val="ListBullet"/>
      </w:pPr>
      <w:r>
        <w:t>Use pilots and procurement opportunities to create reference evidence.</w:t>
      </w:r>
    </w:p>
    <w:p>
      <w:pPr>
        <w:pStyle w:val="ListBullet"/>
      </w:pPr>
      <w:r>
        <w:t>Measure marketing expenditure against qualified opportunities and evidence.</w:t>
      </w:r>
    </w:p>
    <w:p>
      <w:pPr>
        <w:pStyle w:val="ListBullet"/>
      </w:pPr>
      <w:r>
        <w:t>Separate promotional claims from independently supported evidence.</w:t>
      </w:r>
    </w:p>
    <w:p>
      <w:pPr>
        <w:pStyle w:val="Heading1"/>
      </w:pPr>
      <w:r>
        <w:t>11. Grants as Upside, Not Survival Base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Source</w:t>
            </w:r>
          </w:p>
        </w:tc>
        <w:tc>
          <w:tcPr>
            <w:tcW w:type="dxa" w:w="5112"/>
            <w:shd w:fill="D9EAF7"/>
          </w:tcPr>
          <w:p>
            <w:r>
              <w:rPr>
                <w:b/>
              </w:rPr>
              <w:t>Role</w:t>
            </w:r>
          </w:p>
        </w:tc>
      </w:tr>
      <w:tr>
        <w:tc>
          <w:tcPr>
            <w:tcW w:type="dxa" w:w="5112"/>
          </w:tcPr>
          <w:p>
            <w:r>
              <w:t>Existing liquid capital</w:t>
            </w:r>
          </w:p>
        </w:tc>
        <w:tc>
          <w:tcPr>
            <w:tcW w:type="dxa" w:w="5112"/>
          </w:tcPr>
          <w:p>
            <w:r>
              <w:t>Primary initial hedge</w:t>
            </w:r>
          </w:p>
        </w:tc>
      </w:tr>
      <w:tr>
        <w:tc>
          <w:tcPr>
            <w:tcW w:type="dxa" w:w="5112"/>
          </w:tcPr>
          <w:p>
            <w:r>
              <w:t>Founder/company assets</w:t>
            </w:r>
          </w:p>
        </w:tc>
        <w:tc>
          <w:tcPr>
            <w:tcW w:type="dxa" w:w="5112"/>
          </w:tcPr>
          <w:p>
            <w:r>
              <w:t>Potential capitalisation source</w:t>
            </w:r>
          </w:p>
        </w:tc>
      </w:tr>
      <w:tr>
        <w:tc>
          <w:tcPr>
            <w:tcW w:type="dxa" w:w="5112"/>
          </w:tcPr>
          <w:p>
            <w:r>
              <w:t>Commercial revenue</w:t>
            </w:r>
          </w:p>
        </w:tc>
        <w:tc>
          <w:tcPr>
            <w:tcW w:type="dxa" w:w="5112"/>
          </w:tcPr>
          <w:p>
            <w:r>
              <w:t>Preferred recurring operating income once established</w:t>
            </w:r>
          </w:p>
        </w:tc>
      </w:tr>
      <w:tr>
        <w:tc>
          <w:tcPr>
            <w:tcW w:type="dxa" w:w="5112"/>
          </w:tcPr>
          <w:p>
            <w:r>
              <w:t>Founder salary from viable company</w:t>
            </w:r>
          </w:p>
        </w:tc>
        <w:tc>
          <w:tcPr>
            <w:tcW w:type="dxa" w:w="5112"/>
          </w:tcPr>
          <w:p>
            <w:r>
              <w:t>Predictable personal income</w:t>
            </w:r>
          </w:p>
        </w:tc>
      </w:tr>
      <w:tr>
        <w:tc>
          <w:tcPr>
            <w:tcW w:type="dxa" w:w="5112"/>
          </w:tcPr>
          <w:p>
            <w:r>
              <w:t>Strategic transaction</w:t>
            </w:r>
          </w:p>
        </w:tc>
        <w:tc>
          <w:tcPr>
            <w:tcW w:type="dxa" w:w="5112"/>
          </w:tcPr>
          <w:p>
            <w:r>
              <w:t>Potential liquidity event</w:t>
            </w:r>
          </w:p>
        </w:tc>
      </w:tr>
      <w:tr>
        <w:tc>
          <w:tcPr>
            <w:tcW w:type="dxa" w:w="5112"/>
          </w:tcPr>
          <w:p>
            <w:r>
              <w:t>Grants</w:t>
            </w:r>
          </w:p>
        </w:tc>
        <w:tc>
          <w:tcPr>
            <w:tcW w:type="dxa" w:w="5112"/>
          </w:tcPr>
          <w:p>
            <w:r>
              <w:t>Project acceleration and approved expenditure</w:t>
            </w:r>
          </w:p>
        </w:tc>
      </w:tr>
      <w:tr>
        <w:tc>
          <w:tcPr>
            <w:tcW w:type="dxa" w:w="5112"/>
          </w:tcPr>
          <w:p>
            <w:r>
              <w:t>External loans</w:t>
            </w:r>
          </w:p>
        </w:tc>
        <w:tc>
          <w:tcPr>
            <w:tcW w:type="dxa" w:w="5112"/>
          </w:tcPr>
          <w:p>
            <w:r>
              <w:t>Optional tool, not assumed as primary survival mechanism</w:t>
            </w:r>
          </w:p>
        </w:tc>
      </w:tr>
    </w:tbl>
    <w:p/>
    <w:p>
      <w:pPr>
        <w:pStyle w:val="Heading1"/>
      </w:pPr>
      <w:r>
        <w:t>12. Large Companies, Grants &amp; Strategic Buyers</w:t>
      </w:r>
    </w:p>
    <w:p>
      <w:r>
        <w:t>Larger organisations may have research budgets, government-supported programs, investment capacity or strategic acquisition capacity. However, grant funding is not necessarily unrestricted cash, and cash resources do not imply willingness or authority to acquire a particular company. Counterparties should be qualified on strategic fit, acquisition/investment mandate, technology needs, market position and integration capability.</w:t>
      </w:r>
    </w:p>
    <w:p>
      <w:pPr>
        <w:pStyle w:val="Heading1"/>
      </w:pPr>
      <w:r>
        <w:t>13. Adviser / Agency Categories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Category</w:t>
            </w:r>
          </w:p>
        </w:tc>
        <w:tc>
          <w:tcPr>
            <w:tcW w:type="dxa" w:w="5112"/>
            <w:shd w:fill="D9EAF7"/>
          </w:tcPr>
          <w:p>
            <w:r>
              <w:rPr>
                <w:b/>
              </w:rPr>
              <w:t>Role</w:t>
            </w:r>
          </w:p>
        </w:tc>
      </w:tr>
      <w:tr>
        <w:tc>
          <w:tcPr>
            <w:tcW w:type="dxa" w:w="5112"/>
          </w:tcPr>
          <w:p>
            <w:r>
              <w:t>M&amp;A / corporate finance adviser</w:t>
            </w:r>
          </w:p>
        </w:tc>
        <w:tc>
          <w:tcPr>
            <w:tcW w:type="dxa" w:w="5112"/>
          </w:tcPr>
          <w:p>
            <w:r>
              <w:t>Identify strategic buyers/investors and manage transaction process</w:t>
            </w:r>
          </w:p>
        </w:tc>
      </w:tr>
      <w:tr>
        <w:tc>
          <w:tcPr>
            <w:tcW w:type="dxa" w:w="5112"/>
          </w:tcPr>
          <w:p>
            <w:r>
              <w:t>Technology M&amp;A specialist</w:t>
            </w:r>
          </w:p>
        </w:tc>
        <w:tc>
          <w:tcPr>
            <w:tcW w:type="dxa" w:w="5112"/>
          </w:tcPr>
          <w:p>
            <w:r>
              <w:t>Position software, AI, quantum, IP and engineering assets</w:t>
            </w:r>
          </w:p>
        </w:tc>
      </w:tr>
      <w:tr>
        <w:tc>
          <w:tcPr>
            <w:tcW w:type="dxa" w:w="5112"/>
          </w:tcPr>
          <w:p>
            <w:r>
              <w:t>Valuation specialist</w:t>
            </w:r>
          </w:p>
        </w:tc>
        <w:tc>
          <w:tcPr>
            <w:tcW w:type="dxa" w:w="5112"/>
          </w:tcPr>
          <w:p>
            <w:r>
              <w:t>Independent valuation and transaction support</w:t>
            </w:r>
          </w:p>
        </w:tc>
      </w:tr>
      <w:tr>
        <w:tc>
          <w:tcPr>
            <w:tcW w:type="dxa" w:w="5112"/>
          </w:tcPr>
          <w:p>
            <w:r>
              <w:t>IP lawyer / patent counsel</w:t>
            </w:r>
          </w:p>
        </w:tc>
        <w:tc>
          <w:tcPr>
            <w:tcW w:type="dxa" w:w="5112"/>
          </w:tcPr>
          <w:p>
            <w:r>
              <w:t>Ownership, assignment and licensing</w:t>
            </w:r>
          </w:p>
        </w:tc>
      </w:tr>
      <w:tr>
        <w:tc>
          <w:tcPr>
            <w:tcW w:type="dxa" w:w="5112"/>
          </w:tcPr>
          <w:p>
            <w:r>
              <w:t>Corporate/M&amp;A lawyer</w:t>
            </w:r>
          </w:p>
        </w:tc>
        <w:tc>
          <w:tcPr>
            <w:tcW w:type="dxa" w:w="5112"/>
          </w:tcPr>
          <w:p>
            <w:r>
              <w:t>Transaction structure and agreements</w:t>
            </w:r>
          </w:p>
        </w:tc>
      </w:tr>
      <w:tr>
        <w:tc>
          <w:tcPr>
            <w:tcW w:type="dxa" w:w="5112"/>
          </w:tcPr>
          <w:p>
            <w:r>
              <w:t>Tax adviser</w:t>
            </w:r>
          </w:p>
        </w:tc>
        <w:tc>
          <w:tcPr>
            <w:tcW w:type="dxa" w:w="5112"/>
          </w:tcPr>
          <w:p>
            <w:r>
              <w:t>Capital gains, cross-border and transaction implications</w:t>
            </w:r>
          </w:p>
        </w:tc>
      </w:tr>
      <w:tr>
        <w:tc>
          <w:tcPr>
            <w:tcW w:type="dxa" w:w="5112"/>
          </w:tcPr>
          <w:p>
            <w:r>
              <w:t>Commercialisation adviser</w:t>
            </w:r>
          </w:p>
        </w:tc>
        <w:tc>
          <w:tcPr>
            <w:tcW w:type="dxa" w:w="5112"/>
          </w:tcPr>
          <w:p>
            <w:r>
              <w:t>Product-market evidence and partnerships</w:t>
            </w:r>
          </w:p>
        </w:tc>
      </w:tr>
      <w:tr>
        <w:tc>
          <w:tcPr>
            <w:tcW w:type="dxa" w:w="5112"/>
          </w:tcPr>
          <w:p>
            <w:r>
              <w:t>Government procurement adviser</w:t>
            </w:r>
          </w:p>
        </w:tc>
        <w:tc>
          <w:tcPr>
            <w:tcW w:type="dxa" w:w="5112"/>
          </w:tcPr>
          <w:p>
            <w:r>
              <w:t>Government customer/procurement pathway</w:t>
            </w:r>
          </w:p>
        </w:tc>
      </w:tr>
      <w:tr>
        <w:tc>
          <w:tcPr>
            <w:tcW w:type="dxa" w:w="5112"/>
          </w:tcPr>
          <w:p>
            <w:r>
              <w:t>Grant specialist</w:t>
            </w:r>
          </w:p>
        </w:tc>
        <w:tc>
          <w:tcPr>
            <w:tcW w:type="dxa" w:w="5112"/>
          </w:tcPr>
          <w:p>
            <w:r>
              <w:t>Funding pipeline and grant obligations</w:t>
            </w:r>
          </w:p>
        </w:tc>
      </w:tr>
    </w:tbl>
    <w:p/>
    <w:p>
      <w:r>
        <w:t>Adviser selection should be based on jurisdiction, transaction size, sector expertise, conflicts, references and fee structure. No adviser should be assumed to guarantee a buyer, valuation or transaction.</w:t>
      </w:r>
    </w:p>
    <w:p>
      <w:pPr>
        <w:pStyle w:val="Heading1"/>
      </w:pPr>
      <w:r>
        <w:t>14. Strategic Counterparty Register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Field</w:t>
            </w:r>
          </w:p>
        </w:tc>
        <w:tc>
          <w:tcPr>
            <w:tcW w:type="dxa" w:w="5112"/>
            <w:shd w:fill="D9EAF7"/>
          </w:tcPr>
          <w:p>
            <w:r>
              <w:rPr>
                <w:b/>
              </w:rPr>
              <w:t>Purpose</w:t>
            </w:r>
          </w:p>
        </w:tc>
      </w:tr>
      <w:tr>
        <w:tc>
          <w:tcPr>
            <w:tcW w:type="dxa" w:w="5112"/>
          </w:tcPr>
          <w:p>
            <w:r>
              <w:t>Counterparty ID</w:t>
            </w:r>
          </w:p>
        </w:tc>
        <w:tc>
          <w:tcPr>
            <w:tcW w:type="dxa" w:w="5112"/>
          </w:tcPr>
          <w:p>
            <w:r>
              <w:t>Unique reference</w:t>
            </w:r>
          </w:p>
        </w:tc>
      </w:tr>
      <w:tr>
        <w:tc>
          <w:tcPr>
            <w:tcW w:type="dxa" w:w="5112"/>
          </w:tcPr>
          <w:p>
            <w:r>
              <w:t>Organisation type</w:t>
            </w:r>
          </w:p>
        </w:tc>
        <w:tc>
          <w:tcPr>
            <w:tcW w:type="dxa" w:w="5112"/>
          </w:tcPr>
          <w:p>
            <w:r>
              <w:t>Technology company, integrator, strategic investor, government-linked entity, etc.</w:t>
            </w:r>
          </w:p>
        </w:tc>
      </w:tr>
      <w:tr>
        <w:tc>
          <w:tcPr>
            <w:tcW w:type="dxa" w:w="5112"/>
          </w:tcPr>
          <w:p>
            <w:r>
              <w:t>Strategic need</w:t>
            </w:r>
          </w:p>
        </w:tc>
        <w:tc>
          <w:tcPr>
            <w:tcW w:type="dxa" w:w="5112"/>
          </w:tcPr>
          <w:p>
            <w:r>
              <w:t>AI/QAI/CPS/Digital Twin/security/etc.</w:t>
            </w:r>
          </w:p>
        </w:tc>
      </w:tr>
      <w:tr>
        <w:tc>
          <w:tcPr>
            <w:tcW w:type="dxa" w:w="5112"/>
          </w:tcPr>
          <w:p>
            <w:r>
              <w:t>Potential asset fit</w:t>
            </w:r>
          </w:p>
        </w:tc>
        <w:tc>
          <w:tcPr>
            <w:tcW w:type="dxa" w:w="5112"/>
          </w:tcPr>
          <w:p>
            <w:r>
              <w:t>QAI architecture, products, IP, engineering capability</w:t>
            </w:r>
          </w:p>
        </w:tc>
      </w:tr>
      <w:tr>
        <w:tc>
          <w:tcPr>
            <w:tcW w:type="dxa" w:w="5112"/>
          </w:tcPr>
          <w:p>
            <w:r>
              <w:t>Geography</w:t>
            </w:r>
          </w:p>
        </w:tc>
        <w:tc>
          <w:tcPr>
            <w:tcW w:type="dxa" w:w="5112"/>
          </w:tcPr>
          <w:p>
            <w:r>
              <w:t>Target market</w:t>
            </w:r>
          </w:p>
        </w:tc>
      </w:tr>
      <w:tr>
        <w:tc>
          <w:tcPr>
            <w:tcW w:type="dxa" w:w="5112"/>
          </w:tcPr>
          <w:p>
            <w:r>
              <w:t>Acquisition history</w:t>
            </w:r>
          </w:p>
        </w:tc>
        <w:tc>
          <w:tcPr>
            <w:tcW w:type="dxa" w:w="5112"/>
          </w:tcPr>
          <w:p>
            <w:r>
              <w:t>Verified evidence where available</w:t>
            </w:r>
          </w:p>
        </w:tc>
      </w:tr>
      <w:tr>
        <w:tc>
          <w:tcPr>
            <w:tcW w:type="dxa" w:w="5112"/>
          </w:tcPr>
          <w:p>
            <w:r>
              <w:t>Investment mandate</w:t>
            </w:r>
          </w:p>
        </w:tc>
        <w:tc>
          <w:tcPr>
            <w:tcW w:type="dxa" w:w="5112"/>
          </w:tcPr>
          <w:p>
            <w:r>
              <w:t>Verified</w:t>
            </w:r>
          </w:p>
        </w:tc>
      </w:tr>
      <w:tr>
        <w:tc>
          <w:tcPr>
            <w:tcW w:type="dxa" w:w="5112"/>
          </w:tcPr>
          <w:p>
            <w:r>
              <w:t>Government relationship</w:t>
            </w:r>
          </w:p>
        </w:tc>
        <w:tc>
          <w:tcPr>
            <w:tcW w:type="dxa" w:w="5112"/>
          </w:tcPr>
          <w:p>
            <w:r>
              <w:t>Customer, partner, procurement, funding or other</w:t>
            </w:r>
          </w:p>
        </w:tc>
      </w:tr>
      <w:tr>
        <w:tc>
          <w:tcPr>
            <w:tcW w:type="dxa" w:w="5112"/>
          </w:tcPr>
          <w:p>
            <w:r>
              <w:t>Founder continuity potential</w:t>
            </w:r>
          </w:p>
        </w:tc>
        <w:tc>
          <w:tcPr>
            <w:tcW w:type="dxa" w:w="5112"/>
          </w:tcPr>
          <w:p>
            <w:r>
              <w:t>Assess senior-role fit</w:t>
            </w:r>
          </w:p>
        </w:tc>
      </w:tr>
      <w:tr>
        <w:tc>
          <w:tcPr>
            <w:tcW w:type="dxa" w:w="5112"/>
          </w:tcPr>
          <w:p>
            <w:r>
              <w:t>Transaction pathway</w:t>
            </w:r>
          </w:p>
        </w:tc>
        <w:tc>
          <w:tcPr>
            <w:tcW w:type="dxa" w:w="5112"/>
          </w:tcPr>
          <w:p>
            <w:r>
              <w:t>Investment, acquisition, partnership, licensing</w:t>
            </w:r>
          </w:p>
        </w:tc>
      </w:tr>
      <w:tr>
        <w:tc>
          <w:tcPr>
            <w:tcW w:type="dxa" w:w="5112"/>
          </w:tcPr>
          <w:p>
            <w:r>
              <w:t>Status</w:t>
            </w:r>
          </w:p>
        </w:tc>
        <w:tc>
          <w:tcPr>
            <w:tcW w:type="dxa" w:w="5112"/>
          </w:tcPr>
          <w:p>
            <w:r>
              <w:t>Research, qualified, approached, NDA, due diligence, negotiation</w:t>
            </w:r>
          </w:p>
        </w:tc>
      </w:tr>
    </w:tbl>
    <w:p/>
    <w:p>
      <w:pPr>
        <w:pStyle w:val="Heading1"/>
      </w:pPr>
      <w:r>
        <w:t>15. Risk Register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Risk</w:t>
            </w:r>
          </w:p>
        </w:tc>
        <w:tc>
          <w:tcPr>
            <w:tcW w:type="dxa" w:w="5112"/>
            <w:shd w:fill="D9EAF7"/>
          </w:tcPr>
          <w:p>
            <w:r>
              <w:rPr>
                <w:b/>
              </w:rPr>
              <w:t>Mitigation</w:t>
            </w:r>
          </w:p>
        </w:tc>
      </w:tr>
      <w:tr>
        <w:tc>
          <w:tcPr>
            <w:tcW w:type="dxa" w:w="5112"/>
          </w:tcPr>
          <w:p>
            <w:r>
              <w:t>Grant rejection/delay</w:t>
            </w:r>
          </w:p>
        </w:tc>
        <w:tc>
          <w:tcPr>
            <w:tcW w:type="dxa" w:w="5112"/>
          </w:tcPr>
          <w:p>
            <w:r>
              <w:t>Exclude unawarded grants from minimum survival cash-flow</w:t>
            </w:r>
          </w:p>
        </w:tc>
      </w:tr>
      <w:tr>
        <w:tc>
          <w:tcPr>
            <w:tcW w:type="dxa" w:w="5112"/>
          </w:tcPr>
          <w:p>
            <w:r>
              <w:t>Sales delay</w:t>
            </w:r>
          </w:p>
        </w:tc>
        <w:tc>
          <w:tcPr>
            <w:tcW w:type="dxa" w:w="5112"/>
          </w:tcPr>
          <w:p>
            <w:r>
              <w:t>Maintain reserve and multiple commercial paths</w:t>
            </w:r>
          </w:p>
        </w:tc>
      </w:tr>
      <w:tr>
        <w:tc>
          <w:tcPr>
            <w:tcW w:type="dxa" w:w="5112"/>
          </w:tcPr>
          <w:p>
            <w:r>
              <w:t>Market downturn</w:t>
            </w:r>
          </w:p>
        </w:tc>
        <w:tc>
          <w:tcPr>
            <w:tcW w:type="dxa" w:w="5112"/>
          </w:tcPr>
          <w:p>
            <w:r>
              <w:t>Keep essential reserve outside high-volatility assets</w:t>
            </w:r>
          </w:p>
        </w:tc>
      </w:tr>
      <w:tr>
        <w:tc>
          <w:tcPr>
            <w:tcW w:type="dxa" w:w="5112"/>
          </w:tcPr>
          <w:p>
            <w:r>
              <w:t>Valuation decline</w:t>
            </w:r>
          </w:p>
        </w:tc>
        <w:tc>
          <w:tcPr>
            <w:tcW w:type="dxa" w:w="5112"/>
          </w:tcPr>
          <w:p>
            <w:r>
              <w:t>Diversify personal assets; do not rely on paper valuation</w:t>
            </w:r>
          </w:p>
        </w:tc>
      </w:tr>
      <w:tr>
        <w:tc>
          <w:tcPr>
            <w:tcW w:type="dxa" w:w="5112"/>
          </w:tcPr>
          <w:p>
            <w:r>
              <w:t>Transaction delay</w:t>
            </w:r>
          </w:p>
        </w:tc>
        <w:tc>
          <w:tcPr>
            <w:tcW w:type="dxa" w:w="5112"/>
          </w:tcPr>
          <w:p>
            <w:r>
              <w:t>Start transaction-readiness before cash becomes critical</w:t>
            </w:r>
          </w:p>
        </w:tc>
      </w:tr>
      <w:tr>
        <w:tc>
          <w:tcPr>
            <w:tcW w:type="dxa" w:w="5112"/>
          </w:tcPr>
          <w:p>
            <w:r>
              <w:t>Buyer dependency</w:t>
            </w:r>
          </w:p>
        </w:tc>
        <w:tc>
          <w:tcPr>
            <w:tcW w:type="dxa" w:w="5112"/>
          </w:tcPr>
          <w:p>
            <w:r>
              <w:t>Maintain multiple qualified counterparties</w:t>
            </w:r>
          </w:p>
        </w:tc>
      </w:tr>
      <w:tr>
        <w:tc>
          <w:tcPr>
            <w:tcW w:type="dxa" w:w="5112"/>
          </w:tcPr>
          <w:p>
            <w:r>
              <w:t>Founder key-person risk</w:t>
            </w:r>
          </w:p>
        </w:tc>
        <w:tc>
          <w:tcPr>
            <w:tcW w:type="dxa" w:w="5112"/>
          </w:tcPr>
          <w:p>
            <w:r>
              <w:t>Document architecture, IP, products and processes</w:t>
            </w:r>
          </w:p>
        </w:tc>
      </w:tr>
      <w:tr>
        <w:tc>
          <w:tcPr>
            <w:tcW w:type="dxa" w:w="5112"/>
          </w:tcPr>
          <w:p>
            <w:r>
              <w:t>IP dispute</w:t>
            </w:r>
          </w:p>
        </w:tc>
        <w:tc>
          <w:tcPr>
            <w:tcW w:type="dxa" w:w="5112"/>
          </w:tcPr>
          <w:p>
            <w:r>
              <w:t>Clean assignments, ownership records and licences</w:t>
            </w:r>
          </w:p>
        </w:tc>
      </w:tr>
      <w:tr>
        <w:tc>
          <w:tcPr>
            <w:tcW w:type="dxa" w:w="5112"/>
          </w:tcPr>
          <w:p>
            <w:r>
              <w:t>Tax/transaction surprise</w:t>
            </w:r>
          </w:p>
        </w:tc>
        <w:tc>
          <w:tcPr>
            <w:tcW w:type="dxa" w:w="5112"/>
          </w:tcPr>
          <w:p>
            <w:r>
              <w:t>Obtain professional advice before transaction</w:t>
            </w:r>
          </w:p>
        </w:tc>
      </w:tr>
      <w:tr>
        <w:tc>
          <w:tcPr>
            <w:tcW w:type="dxa" w:w="5112"/>
          </w:tcPr>
          <w:p>
            <w:r>
              <w:t>Currency risk</w:t>
            </w:r>
          </w:p>
        </w:tc>
        <w:tc>
          <w:tcPr>
            <w:tcW w:type="dxa" w:w="5112"/>
          </w:tcPr>
          <w:p>
            <w:r>
              <w:t>Match part of reserve to future spending currency</w:t>
            </w:r>
          </w:p>
        </w:tc>
      </w:tr>
      <w:tr>
        <w:tc>
          <w:tcPr>
            <w:tcW w:type="dxa" w:w="5112"/>
          </w:tcPr>
          <w:p>
            <w:r>
              <w:t>Marketing overspend</w:t>
            </w:r>
          </w:p>
        </w:tc>
        <w:tc>
          <w:tcPr>
            <w:tcW w:type="dxa" w:w="5112"/>
          </w:tcPr>
          <w:p>
            <w:r>
              <w:t>Stage-gate expenditure and measure evidence</w:t>
            </w:r>
          </w:p>
        </w:tc>
      </w:tr>
      <w:tr>
        <w:tc>
          <w:tcPr>
            <w:tcW w:type="dxa" w:w="5112"/>
          </w:tcPr>
          <w:p>
            <w:r>
              <w:t>Post-exit role uncertainty</w:t>
            </w:r>
          </w:p>
        </w:tc>
        <w:tc>
          <w:tcPr>
            <w:tcW w:type="dxa" w:w="5112"/>
          </w:tcPr>
          <w:p>
            <w:r>
              <w:t>Negotiate role, compensation, authority, IP and continuity terms before closing</w:t>
            </w:r>
          </w:p>
        </w:tc>
      </w:tr>
    </w:tbl>
    <w:p/>
    <w:p>
      <w:pPr>
        <w:pStyle w:val="Heading1"/>
      </w:pPr>
      <w:r>
        <w:t>16. Founder Continuity Agreement Topics</w:t>
      </w:r>
    </w:p>
    <w:p>
      <w:pPr>
        <w:pStyle w:val="ListBullet"/>
      </w:pPr>
      <w:r>
        <w:t>Position and reporting line</w:t>
      </w:r>
    </w:p>
    <w:p>
      <w:pPr>
        <w:pStyle w:val="ListBullet"/>
      </w:pPr>
      <w:r>
        <w:t>Base compensation and benefits</w:t>
      </w:r>
    </w:p>
    <w:p>
      <w:pPr>
        <w:pStyle w:val="ListBullet"/>
      </w:pPr>
      <w:r>
        <w:t>Performance/bonus arrangements</w:t>
      </w:r>
    </w:p>
    <w:p>
      <w:pPr>
        <w:pStyle w:val="ListBullet"/>
      </w:pPr>
      <w:r>
        <w:t>Authority and decision rights</w:t>
      </w:r>
    </w:p>
    <w:p>
      <w:pPr>
        <w:pStyle w:val="ListBullet"/>
      </w:pPr>
      <w:r>
        <w:t>Technology/program responsibilities</w:t>
      </w:r>
    </w:p>
    <w:p>
      <w:pPr>
        <w:pStyle w:val="ListBullet"/>
      </w:pPr>
      <w:r>
        <w:t>IP ownership and licence-back provisions</w:t>
      </w:r>
    </w:p>
    <w:p>
      <w:pPr>
        <w:pStyle w:val="ListBullet"/>
      </w:pPr>
      <w:r>
        <w:t>Retained equity or other economic interest, if applicable</w:t>
      </w:r>
    </w:p>
    <w:p>
      <w:pPr>
        <w:pStyle w:val="ListBullet"/>
      </w:pPr>
      <w:r>
        <w:t>Term and termination provisions</w:t>
      </w:r>
    </w:p>
    <w:p>
      <w:pPr>
        <w:pStyle w:val="ListBullet"/>
      </w:pPr>
      <w:r>
        <w:t>Non-compete/non-solicit provisions where legally applicable</w:t>
      </w:r>
    </w:p>
    <w:p>
      <w:pPr>
        <w:pStyle w:val="ListBullet"/>
      </w:pPr>
      <w:r>
        <w:t>Transition obligations</w:t>
      </w:r>
    </w:p>
    <w:p>
      <w:pPr>
        <w:pStyle w:val="ListBullet"/>
      </w:pPr>
      <w:r>
        <w:t>Confidentiality and information rights</w:t>
      </w:r>
    </w:p>
    <w:p>
      <w:pPr>
        <w:pStyle w:val="ListBullet"/>
      </w:pPr>
      <w:r>
        <w:t>Treatment of future QAI products and research</w:t>
      </w:r>
    </w:p>
    <w:p>
      <w:pPr>
        <w:pStyle w:val="Heading1"/>
      </w:pPr>
      <w:r>
        <w:t>17. Three-Stage Financial Hedge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Stage</w:t>
            </w:r>
          </w:p>
        </w:tc>
        <w:tc>
          <w:tcPr>
            <w:tcW w:type="dxa" w:w="3408"/>
            <w:shd w:fill="D9EAF7"/>
          </w:tcPr>
          <w:p>
            <w:r>
              <w:rPr>
                <w:b/>
              </w:rPr>
              <w:t>Objective</w:t>
            </w:r>
          </w:p>
        </w:tc>
        <w:tc>
          <w:tcPr>
            <w:tcW w:type="dxa" w:w="3408"/>
            <w:shd w:fill="D9EAF7"/>
          </w:tcPr>
          <w:p>
            <w:r>
              <w:rPr>
                <w:b/>
              </w:rPr>
              <w:t>Trigger</w:t>
            </w:r>
          </w:p>
        </w:tc>
      </w:tr>
      <w:tr>
        <w:tc>
          <w:tcPr>
            <w:tcW w:type="dxa" w:w="3408"/>
          </w:tcPr>
          <w:p>
            <w:r>
              <w:t>A — Protect</w:t>
            </w:r>
          </w:p>
        </w:tc>
        <w:tc>
          <w:tcPr>
            <w:tcW w:type="dxa" w:w="3408"/>
          </w:tcPr>
          <w:p>
            <w:r>
              <w:t>Build liquid reserve and lean cost base</w:t>
            </w:r>
          </w:p>
        </w:tc>
        <w:tc>
          <w:tcPr>
            <w:tcW w:type="dxa" w:w="3408"/>
          </w:tcPr>
          <w:p>
            <w:r>
              <w:t>Adequate runway</w:t>
            </w:r>
          </w:p>
        </w:tc>
      </w:tr>
      <w:tr>
        <w:tc>
          <w:tcPr>
            <w:tcW w:type="dxa" w:w="3408"/>
          </w:tcPr>
          <w:p>
            <w:r>
              <w:t>B — Monetise</w:t>
            </w:r>
          </w:p>
        </w:tc>
        <w:tc>
          <w:tcPr>
            <w:tcW w:type="dxa" w:w="3408"/>
          </w:tcPr>
          <w:p>
            <w:r>
              <w:t>Generate revenue and/or capitalise selected assets</w:t>
            </w:r>
          </w:p>
        </w:tc>
        <w:tc>
          <w:tcPr>
            <w:tcW w:type="dxa" w:w="3408"/>
          </w:tcPr>
          <w:p>
            <w:r>
              <w:t>Recurring revenue or credible transaction path</w:t>
            </w:r>
          </w:p>
        </w:tc>
      </w:tr>
      <w:tr>
        <w:tc>
          <w:tcPr>
            <w:tcW w:type="dxa" w:w="3408"/>
          </w:tcPr>
          <w:p>
            <w:r>
              <w:t>C — Transition</w:t>
            </w:r>
          </w:p>
        </w:tc>
        <w:tc>
          <w:tcPr>
            <w:tcW w:type="dxa" w:w="3408"/>
          </w:tcPr>
          <w:p>
            <w:r>
              <w:t>Complete strategic transaction with founder continuity</w:t>
            </w:r>
          </w:p>
        </w:tc>
        <w:tc>
          <w:tcPr>
            <w:tcW w:type="dxa" w:w="3408"/>
          </w:tcPr>
          <w:p>
            <w:r>
              <w:t>Signed/closed transaction and formal role</w:t>
            </w:r>
          </w:p>
        </w:tc>
      </w:tr>
    </w:tbl>
    <w:p/>
    <w:p>
      <w:pPr>
        <w:pStyle w:val="Heading1"/>
      </w:pPr>
      <w:r>
        <w:t>18. Key Metrics</w:t>
      </w:r>
    </w:p>
    <w:p>
      <w:pPr>
        <w:pStyle w:val="ListBullet"/>
      </w:pPr>
      <w:r>
        <w:t>Minimum monthly personal requirement</w:t>
      </w:r>
    </w:p>
    <w:p>
      <w:pPr>
        <w:pStyle w:val="ListBullet"/>
      </w:pPr>
      <w:r>
        <w:t>Minimum monthly company requirement</w:t>
      </w:r>
    </w:p>
    <w:p>
      <w:pPr>
        <w:pStyle w:val="ListBullet"/>
      </w:pPr>
      <w:r>
        <w:t>Combined monthly burn</w:t>
      </w:r>
    </w:p>
    <w:p>
      <w:pPr>
        <w:pStyle w:val="ListBullet"/>
      </w:pPr>
      <w:r>
        <w:t>Liquid months of runway</w:t>
      </w:r>
    </w:p>
    <w:p>
      <w:pPr>
        <w:pStyle w:val="ListBullet"/>
      </w:pPr>
      <w:r>
        <w:t>Contracted recurring revenue</w:t>
      </w:r>
    </w:p>
    <w:p>
      <w:pPr>
        <w:pStyle w:val="ListBullet"/>
      </w:pPr>
      <w:r>
        <w:t>Unrestricted company cash</w:t>
      </w:r>
    </w:p>
    <w:p>
      <w:pPr>
        <w:pStyle w:val="ListBullet"/>
      </w:pPr>
      <w:r>
        <w:t>Restricted grant funds</w:t>
      </w:r>
    </w:p>
    <w:p>
      <w:pPr>
        <w:pStyle w:val="ListBullet"/>
      </w:pPr>
      <w:r>
        <w:t>Eligible but unreimbursed grant expenditure</w:t>
      </w:r>
    </w:p>
    <w:p>
      <w:pPr>
        <w:pStyle w:val="ListBullet"/>
      </w:pPr>
      <w:r>
        <w:t>Founder compensation requirement</w:t>
      </w:r>
    </w:p>
    <w:p>
      <w:pPr>
        <w:pStyle w:val="ListBullet"/>
      </w:pPr>
      <w:r>
        <w:t>Potential transaction proceeds</w:t>
      </w:r>
    </w:p>
    <w:p>
      <w:pPr>
        <w:pStyle w:val="ListBullet"/>
      </w:pPr>
      <w:r>
        <w:t>Post-transaction annual income</w:t>
      </w:r>
    </w:p>
    <w:p>
      <w:pPr>
        <w:pStyle w:val="Heading1"/>
      </w:pPr>
      <w:r>
        <w:t>19. Decision Gates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Gate</w:t>
            </w:r>
          </w:p>
        </w:tc>
        <w:tc>
          <w:tcPr>
            <w:tcW w:type="dxa" w:w="5112"/>
            <w:shd w:fill="D9EAF7"/>
          </w:tcPr>
          <w:p>
            <w:r>
              <w:rPr>
                <w:b/>
              </w:rPr>
              <w:t>Question</w:t>
            </w:r>
          </w:p>
        </w:tc>
      </w:tr>
      <w:tr>
        <w:tc>
          <w:tcPr>
            <w:tcW w:type="dxa" w:w="5112"/>
          </w:tcPr>
          <w:p>
            <w:r>
              <w:t>G0 — Survival</w:t>
            </w:r>
          </w:p>
        </w:tc>
        <w:tc>
          <w:tcPr>
            <w:tcW w:type="dxa" w:w="5112"/>
          </w:tcPr>
          <w:p>
            <w:r>
              <w:t>Can essential costs be covered without an unawarded grant?</w:t>
            </w:r>
          </w:p>
        </w:tc>
      </w:tr>
      <w:tr>
        <w:tc>
          <w:tcPr>
            <w:tcW w:type="dxa" w:w="5112"/>
          </w:tcPr>
          <w:p>
            <w:r>
              <w:t>G1 — Asset readiness</w:t>
            </w:r>
          </w:p>
        </w:tc>
        <w:tc>
          <w:tcPr>
            <w:tcW w:type="dxa" w:w="5112"/>
          </w:tcPr>
          <w:p>
            <w:r>
              <w:t>Are IP, products, architecture and financial records transaction-ready?</w:t>
            </w:r>
          </w:p>
        </w:tc>
      </w:tr>
      <w:tr>
        <w:tc>
          <w:tcPr>
            <w:tcW w:type="dxa" w:w="5112"/>
          </w:tcPr>
          <w:p>
            <w:r>
              <w:t>G2 — Commercial evidence</w:t>
            </w:r>
          </w:p>
        </w:tc>
        <w:tc>
          <w:tcPr>
            <w:tcW w:type="dxa" w:w="5112"/>
          </w:tcPr>
          <w:p>
            <w:r>
              <w:t>Is there credible customer/partner/pilot evidence?</w:t>
            </w:r>
          </w:p>
        </w:tc>
      </w:tr>
      <w:tr>
        <w:tc>
          <w:tcPr>
            <w:tcW w:type="dxa" w:w="5112"/>
          </w:tcPr>
          <w:p>
            <w:r>
              <w:t>G3 — Capitalisation</w:t>
            </w:r>
          </w:p>
        </w:tc>
        <w:tc>
          <w:tcPr>
            <w:tcW w:type="dxa" w:w="5112"/>
          </w:tcPr>
          <w:p>
            <w:r>
              <w:t>Which assets can be monetised without destroying the core business?</w:t>
            </w:r>
          </w:p>
        </w:tc>
      </w:tr>
      <w:tr>
        <w:tc>
          <w:tcPr>
            <w:tcW w:type="dxa" w:w="5112"/>
          </w:tcPr>
          <w:p>
            <w:r>
              <w:t>G4 — Counterparty</w:t>
            </w:r>
          </w:p>
        </w:tc>
        <w:tc>
          <w:tcPr>
            <w:tcW w:type="dxa" w:w="5112"/>
          </w:tcPr>
          <w:p>
            <w:r>
              <w:t>Is there a strategically suitable and credible buyer/investor?</w:t>
            </w:r>
          </w:p>
        </w:tc>
      </w:tr>
      <w:tr>
        <w:tc>
          <w:tcPr>
            <w:tcW w:type="dxa" w:w="5112"/>
          </w:tcPr>
          <w:p>
            <w:r>
              <w:t>G5 — Transaction</w:t>
            </w:r>
          </w:p>
        </w:tc>
        <w:tc>
          <w:tcPr>
            <w:tcW w:type="dxa" w:w="5112"/>
          </w:tcPr>
          <w:p>
            <w:r>
              <w:t>Does proposed consideration materially improve founder financial security?</w:t>
            </w:r>
          </w:p>
        </w:tc>
      </w:tr>
      <w:tr>
        <w:tc>
          <w:tcPr>
            <w:tcW w:type="dxa" w:w="5112"/>
          </w:tcPr>
          <w:p>
            <w:r>
              <w:t>G6 — Continuity</w:t>
            </w:r>
          </w:p>
        </w:tc>
        <w:tc>
          <w:tcPr>
            <w:tcW w:type="dxa" w:w="5112"/>
          </w:tcPr>
          <w:p>
            <w:r>
              <w:t>Is senior role, compensation and IP position formally secured?</w:t>
            </w:r>
          </w:p>
        </w:tc>
      </w:tr>
      <w:tr>
        <w:tc>
          <w:tcPr>
            <w:tcW w:type="dxa" w:w="5112"/>
          </w:tcPr>
          <w:p>
            <w:r>
              <w:t>G7 — Post-transaction</w:t>
            </w:r>
          </w:p>
        </w:tc>
        <w:tc>
          <w:tcPr>
            <w:tcW w:type="dxa" w:w="5112"/>
          </w:tcPr>
          <w:p>
            <w:r>
              <w:t>Can founder and QAI capability continue sustainably?</w:t>
            </w:r>
          </w:p>
        </w:tc>
      </w:tr>
    </w:tbl>
    <w:p/>
    <w:p>
      <w:pPr>
        <w:pStyle w:val="Heading1"/>
      </w:pPr>
      <w:r>
        <w:t>20. Overall Strategy</w:t>
      </w:r>
    </w:p>
    <w:p>
      <w:r>
        <w:rPr>
          <w:b/>
        </w:rPr>
        <w:t>Build value → protect liquidity → create evidence → monetise selectively → pursue strategic capitalisation → retain leadership where valuable → continue scaling.</w:t>
      </w:r>
    </w:p>
    <w:p>
      <w:r>
        <w:t>The objective is financial resilience, not maximum valuation at any cost. Grants, sales and external capital can accelerate the business, but the minimum personal/company operating model should remain viable if a grant or transaction is delayed.</w:t>
      </w:r>
    </w:p>
    <w:p>
      <w:pPr>
        <w:pStyle w:val="Heading1"/>
      </w:pPr>
      <w:r>
        <w:t>21. Professional Review</w:t>
      </w:r>
    </w:p>
    <w:p>
      <w:r>
        <w:t>Before an actual exit, share sale, asset sale, merger, acquisition, founder reappointment, cross-border transfer or investment, obtain qualified corporate/M&amp;A, tax, accounting, IP and employment advice in the relevant jurisdictions. Immigration consequences should be reviewed independently where residency or citizenship plans are involved.</w:t>
      </w:r>
    </w:p>
    <w:p>
      <w:pPr>
        <w:pStyle w:val="Heading1"/>
      </w:pPr>
      <w:r>
        <w:t>22. Next Working Artifacts</w:t>
      </w:r>
    </w:p>
    <w:p>
      <w:pPr>
        <w:pStyle w:val="ListBullet"/>
      </w:pPr>
      <w:r>
        <w:t>QAI Founder Financial Sustainability Workbook</w:t>
      </w:r>
    </w:p>
    <w:p>
      <w:pPr>
        <w:pStyle w:val="ListBullet"/>
      </w:pPr>
      <w:r>
        <w:t>QAI 36-Month Runway Model</w:t>
      </w:r>
    </w:p>
    <w:p>
      <w:pPr>
        <w:pStyle w:val="ListBullet"/>
      </w:pPr>
      <w:r>
        <w:t>QAI Personal vs Company vs Grant Cash-Flow Model</w:t>
      </w:r>
    </w:p>
    <w:p>
      <w:pPr>
        <w:pStyle w:val="ListBullet"/>
      </w:pPr>
      <w:r>
        <w:t>QAI Strategic Counterparty / Buyer Register</w:t>
      </w:r>
    </w:p>
    <w:p>
      <w:pPr>
        <w:pStyle w:val="ListBullet"/>
      </w:pPr>
      <w:r>
        <w:t>QAI Transaction-Readiness Checklist</w:t>
      </w:r>
    </w:p>
    <w:p>
      <w:pPr>
        <w:pStyle w:val="ListBullet"/>
      </w:pPr>
      <w:r>
        <w:t>QAI IP &amp; Asset Monetisation Register</w:t>
      </w:r>
    </w:p>
    <w:p>
      <w:pPr>
        <w:pStyle w:val="ListBullet"/>
      </w:pPr>
      <w:r>
        <w:t>QAI Founder Continuity / Senior Role Term-Sheet Checklist</w:t>
      </w:r>
    </w:p>
    <w:p>
      <w:pPr>
        <w:pStyle w:val="ListBullet"/>
      </w:pPr>
      <w:r>
        <w:t>QAI Capitalisation &amp; Strategic Exit Roadmap</w:t>
      </w:r>
    </w:p>
    <w:p>
      <w:pPr>
        <w:jc w:val="center"/>
      </w:pPr>
      <w:r>
        <w:rPr>
          <w:b/>
        </w:rPr>
        <w:t>QAI — Financial Resilience, Strategic Capitalisation &amp; Leadership Continuity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