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FAEP Digital Farm Pilot</w:t>
        <w:br/>
        <w:t>12-Phase Next Realisation Plan</w:t>
      </w:r>
    </w:p>
    <w:p>
      <w:pPr>
        <w:jc w:val="center"/>
      </w:pPr>
      <w:r>
        <w:rPr>
          <w:i/>
        </w:rPr>
        <w:t>Phase 1 Reconciliation → Phase 12 Commercialisation &amp; Post-Pilot Readiness</w:t>
      </w:r>
    </w:p>
    <w:p>
      <w:pPr>
        <w:jc w:val="center"/>
      </w:pPr>
      <w:r>
        <w:rPr>
          <w:b/>
        </w:rPr>
        <w:t>Working baseline for the HoldCo Factory / VS Code implementation</w:t>
      </w:r>
    </w:p>
    <w:p>
      <w:pPr>
        <w:pStyle w:val="Heading1"/>
      </w:pPr>
      <w:r>
        <w:t>1. Purpose of this Realisation Plan</w:t>
      </w:r>
    </w:p>
    <w:p>
      <w:r>
        <w:t>This document is the next realisation plan for continuing the FAEP Digital Farm Pilot after completion of the Phase 3 CPS Workflow Definition work. It preserves the existing 12-phase roadmap while allowing controlled additions to each phase where implementation evidence, traceability, validation or commercial readiness requires them.</w:t>
      </w:r>
    </w:p>
    <w:p>
      <w:r>
        <w:t>Governing principle: do not restart completed phases. Reconcile missing inputs, close the relevant gate, freeze the baseline, and proceed to the next phase.</w:t>
      </w:r>
    </w:p>
    <w:p>
      <w:pPr>
        <w:pStyle w:val="Heading1"/>
      </w:pPr>
      <w:r>
        <w:t>2. Current Realisation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Phase</w:t>
            </w:r>
          </w:p>
        </w:tc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>
              <w:t>Current Position</w:t>
            </w:r>
          </w:p>
        </w:tc>
        <w:tc>
          <w:tcPr>
            <w:tcW w:type="dxa" w:w="2556"/>
          </w:tcPr>
          <w:p>
            <w:r>
              <w:t>Next Action</w:t>
            </w:r>
          </w:p>
        </w:tc>
      </w:tr>
      <w:tr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Implementation Readiness &amp; Scope Baseline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Maintain baseline; update only if a genuine gap is found.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Asset Virtualization</w:t>
            </w:r>
          </w:p>
        </w:tc>
        <w:tc>
          <w:tcPr>
            <w:tcW w:type="dxa" w:w="2556"/>
          </w:tcPr>
          <w:p>
            <w:r>
              <w:t>Complete with targeted reconciliation</w:t>
            </w:r>
          </w:p>
        </w:tc>
        <w:tc>
          <w:tcPr>
            <w:tcW w:type="dxa" w:w="2556"/>
          </w:tcPr>
          <w:p>
            <w:r>
              <w:t>Add physical/logical/runtime/deployment traceability discovered during Phase 3.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Asset / Process Emulation</w:t>
            </w:r>
          </w:p>
        </w:tc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Use as behavioural foundation for Phase 4.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CPS Workflow Definition</w:t>
            </w:r>
          </w:p>
        </w:tc>
        <w:tc>
          <w:tcPr>
            <w:tcW w:type="dxa" w:w="2556"/>
          </w:tcPr>
          <w:p>
            <w:r>
              <w:t>Substantially complete</w:t>
            </w:r>
          </w:p>
        </w:tc>
        <w:tc>
          <w:tcPr>
            <w:tcW w:type="dxa" w:w="2556"/>
          </w:tcPr>
          <w:p>
            <w:r>
              <w:t>Complete reconciliation, Gate 3 review and baseline freeze.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Open-Loop Simulation</w:t>
            </w:r>
          </w:p>
        </w:tc>
        <w:tc>
          <w:tcPr>
            <w:tcW w:type="dxa" w:w="2556"/>
          </w:tcPr>
          <w:p>
            <w:r>
              <w:t>Next</w:t>
            </w:r>
          </w:p>
        </w:tc>
        <w:tc>
          <w:tcPr>
            <w:tcW w:type="dxa" w:w="2556"/>
          </w:tcPr>
          <w:p>
            <w:r>
              <w:t>Build executable simulation/recommendation flow without automated actuation.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Closed-Loop CPS Simulation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Validate decision → action → changed state → sensing feedback.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QAI Advantage &amp; Value Evaluation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Compare classical baseline, AI/QAI approaches and measurable value.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Model Validation &amp; Promotion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Establish evidence, provenance, validity range and promotion criteria.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Digital Twin Production Transition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Move validated representations/models toward production-oriented Twin operation.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QAI Lab Project Integration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Frame the Digital Farm as a controlled QAI Lab experiment/project.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Fabric &amp; Slice Integration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Add governance, PMO, IP, technology-transfer and related slices.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Vendor Benchmark &amp; Differentiation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Benchmark relevant vendor capabilities against validated architecture.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Commercialisation &amp; Post-Pilot Readiness</w:t>
            </w:r>
          </w:p>
        </w:tc>
        <w:tc>
          <w:tcPr>
            <w:tcW w:type="dxa" w:w="2556"/>
          </w:tcPr>
          <w:p>
            <w:r>
              <w:t>Planned</w:t>
            </w:r>
          </w:p>
        </w:tc>
        <w:tc>
          <w:tcPr>
            <w:tcW w:type="dxa" w:w="2556"/>
          </w:tcPr>
          <w:p>
            <w:r>
              <w:t>Convert evidence into SaaS/service proposition and post-pilot transition package.</w:t>
            </w:r>
          </w:p>
        </w:tc>
      </w:tr>
    </w:tbl>
    <w:p>
      <w:pPr>
        <w:pStyle w:val="Heading1"/>
      </w:pPr>
      <w:r>
        <w:t>3. Realisation Rules for All 12 Phases</w:t>
      </w:r>
    </w:p>
    <w:p>
      <w:pPr>
        <w:pStyle w:val="ListBullet"/>
      </w:pPr>
      <w:r>
        <w:t>Architecture before implementation.</w:t>
      </w:r>
    </w:p>
    <w:p>
      <w:pPr>
        <w:pStyle w:val="ListBullet"/>
      </w:pPr>
      <w:r>
        <w:t>Virtualize before depending on physical assets; emulate before claiming operational behaviour.</w:t>
      </w:r>
    </w:p>
    <w:p>
      <w:pPr>
        <w:pStyle w:val="ListBullet"/>
      </w:pPr>
      <w:r>
        <w:t>Define workflows before simulation.</w:t>
      </w:r>
    </w:p>
    <w:p>
      <w:pPr>
        <w:pStyle w:val="ListBullet"/>
      </w:pPr>
      <w:r>
        <w:t>Establish a classical baseline before claiming QAI advantage.</w:t>
      </w:r>
    </w:p>
    <w:p>
      <w:pPr>
        <w:pStyle w:val="ListBullet"/>
      </w:pPr>
      <w:r>
        <w:t>Measure technical, operational and economic outcomes together.</w:t>
      </w:r>
    </w:p>
    <w:p>
      <w:pPr>
        <w:pStyle w:val="ListBullet"/>
      </w:pPr>
      <w:r>
        <w:t>Keep synthetic and real data explicitly separated and traceable.</w:t>
      </w:r>
    </w:p>
    <w:p>
      <w:pPr>
        <w:pStyle w:val="ListBullet"/>
      </w:pPr>
      <w:r>
        <w:t>Treat human capability, approval and override as first-class CPS elements.</w:t>
      </w:r>
    </w:p>
    <w:p>
      <w:pPr>
        <w:pStyle w:val="ListBullet"/>
      </w:pPr>
      <w:r>
        <w:t>Promote only validated models; record assumptions, provenance, tests, boundaries and rollback conditions.</w:t>
      </w:r>
    </w:p>
    <w:p>
      <w:pPr>
        <w:pStyle w:val="ListBullet"/>
      </w:pPr>
      <w:r>
        <w:t>Keep pilot hardware small; represent optional/future technologies logically without making them pilot procurement commitments.</w:t>
      </w:r>
    </w:p>
    <w:p>
      <w:pPr>
        <w:pStyle w:val="ListBullet"/>
      </w:pPr>
      <w:r>
        <w:t>Keep control-critical deterministic functions on their appropriate native platforms; use edge/QAI layers primarily for sensing, analytics, inference, optimisation and authorised integration.</w:t>
      </w:r>
    </w:p>
    <w:p>
      <w:pPr>
        <w:pStyle w:val="ListBullet"/>
      </w:pPr>
      <w:r>
        <w:t>Do not claim quantum advantage, customer outcomes, commercial adoption or measured economic benefit until evidence exists.</w:t>
      </w:r>
    </w:p>
    <w:p>
      <w:pPr>
        <w:pStyle w:val="ListBullet"/>
      </w:pPr>
      <w:r>
        <w:t>At each gate distinguish Complete, Reconcile, Validate, Proposed and Future work.</w:t>
      </w:r>
    </w:p>
    <w:p>
      <w:pPr>
        <w:pStyle w:val="Heading1"/>
      </w:pPr>
      <w:r>
        <w:t>4. Phase-by-Phase Next Realisation Roadmap</w:t>
      </w:r>
    </w:p>
    <w:p>
      <w:pPr>
        <w:pStyle w:val="Heading2"/>
      </w:pPr>
      <w:r>
        <w:t>Phase 0 — Implementation Readiness &amp; Scope Baseline</w:t>
      </w:r>
    </w:p>
    <w:p>
      <w:r>
        <w:t>Primary outcome: Minimum information, assets, use cases, baselines and acceptance criteria needed to start.</w:t>
      </w:r>
    </w:p>
    <w:p>
      <w:pPr>
        <w:pStyle w:val="ListBullet"/>
      </w:pPr>
      <w:r>
        <w:t>Maintain bounded use case, scope, actors, scenarios, workflows, KPIs/MVV, value assumptions and acceptance criteria.</w:t>
      </w:r>
    </w:p>
    <w:p>
      <w:pPr>
        <w:pStyle w:val="ListBullet"/>
      </w:pPr>
      <w:r>
        <w:t>Confirm physical/logical boundary and synthetic/real data boundary.</w:t>
      </w:r>
    </w:p>
    <w:p>
      <w:pPr>
        <w:pStyle w:val="ListBullet"/>
      </w:pPr>
      <w:r>
        <w:t>Confirm pilot vs optional/future inventory classification.</w:t>
      </w:r>
    </w:p>
    <w:p>
      <w:pPr>
        <w:pStyle w:val="ListBullet"/>
      </w:pPr>
      <w:r>
        <w:t>Maintain requirement → capability → asset/data/model → workflow → KPI/evidence traceability.</w:t>
      </w:r>
    </w:p>
    <w:p>
      <w:pPr>
        <w:pStyle w:val="ListBullet"/>
      </w:pPr>
      <w:r>
        <w:t>Reopen Gate 0 only if a genuine baseline dependency is discovered.</w:t>
      </w:r>
    </w:p>
    <w:p>
      <w:pPr>
        <w:pStyle w:val="Heading2"/>
      </w:pPr>
      <w:r>
        <w:t>Phase 1 — Asset Virtualization</w:t>
      </w:r>
    </w:p>
    <w:p>
      <w:r>
        <w:t>Primary outcome: Virtual representations of Digital Farm assets and their relationships.</w:t>
      </w:r>
    </w:p>
    <w:p>
      <w:pPr>
        <w:pStyle w:val="ListBullet"/>
      </w:pPr>
      <w:r>
        <w:t>Reconcile pilot sensors, weather, water, camera, edge computer, storage, gateway, network, router and UPS.</w:t>
      </w:r>
    </w:p>
    <w:p>
      <w:pPr>
        <w:pStyle w:val="ListBullet"/>
      </w:pPr>
      <w:r>
        <w:t>Represent logical assets: edge runtime, inference/fusion, QAI pipeline/runtime, control plane, Digital Farm Twin and cloud boundary.</w:t>
      </w:r>
    </w:p>
    <w:p>
      <w:pPr>
        <w:pStyle w:val="ListBullet"/>
      </w:pPr>
      <w:r>
        <w:t>Add physical ↔ logical ↔ runtime ↔ deployment mapping.</w:t>
      </w:r>
    </w:p>
    <w:p>
      <w:pPr>
        <w:pStyle w:val="ListBullet"/>
      </w:pPr>
      <w:r>
        <w:t>Add identity, state, configuration, relationship and interface definitions.</w:t>
      </w:r>
    </w:p>
    <w:p>
      <w:pPr>
        <w:pStyle w:val="ListBullet"/>
      </w:pPr>
      <w:r>
        <w:t>Map Phase-3 workflow participants to Phase-1 virtual assets.</w:t>
      </w:r>
    </w:p>
    <w:p>
      <w:pPr>
        <w:pStyle w:val="ListBullet"/>
      </w:pPr>
      <w:r>
        <w:t>Represent P1/optional technologies as virtual extension points, not physical pilot procurement.</w:t>
      </w:r>
    </w:p>
    <w:p>
      <w:pPr>
        <w:pStyle w:val="ListBullet"/>
      </w:pPr>
      <w:r>
        <w:t>Complete Phase-1 reconciliation before Phase-4 execution.</w:t>
      </w:r>
    </w:p>
    <w:p>
      <w:pPr>
        <w:pStyle w:val="Heading2"/>
      </w:pPr>
      <w:r>
        <w:t>Phase 2 — Asset / Process Emulation</w:t>
      </w:r>
    </w:p>
    <w:p>
      <w:r>
        <w:t>Primary outcome: Emulation of relevant operational behaviour and interfaces.</w:t>
      </w:r>
    </w:p>
    <w:p>
      <w:pPr>
        <w:pStyle w:val="ListBullet"/>
      </w:pPr>
      <w:r>
        <w:t>Confirm sensor output behaviour and expected ranges.</w:t>
      </w:r>
    </w:p>
    <w:p>
      <w:pPr>
        <w:pStyle w:val="ListBullet"/>
      </w:pPr>
      <w:r>
        <w:t>Emulate asset state transitions and normal/abnormal conditions.</w:t>
      </w:r>
    </w:p>
    <w:p>
      <w:pPr>
        <w:pStyle w:val="ListBullet"/>
      </w:pPr>
      <w:r>
        <w:t>Emulate gateway/edge/cloud interface behaviour.</w:t>
      </w:r>
    </w:p>
    <w:p>
      <w:pPr>
        <w:pStyle w:val="ListBullet"/>
      </w:pPr>
      <w:r>
        <w:t>Represent timing, latency, missing, delayed and basic fault conditions.</w:t>
      </w:r>
    </w:p>
    <w:p>
      <w:pPr>
        <w:pStyle w:val="ListBullet"/>
      </w:pPr>
      <w:r>
        <w:t>Separate deterministic control-critical behaviour from analytics/QAI orchestration.</w:t>
      </w:r>
    </w:p>
    <w:p>
      <w:pPr>
        <w:pStyle w:val="ListBullet"/>
      </w:pPr>
      <w:r>
        <w:t>Record model fidelity and known validity boundaries.</w:t>
      </w:r>
    </w:p>
    <w:p>
      <w:pPr>
        <w:pStyle w:val="Heading2"/>
      </w:pPr>
      <w:r>
        <w:t>Phase 3 — CPS Workflow Definition</w:t>
      </w:r>
    </w:p>
    <w:p>
      <w:r>
        <w:t>Primary outcome: Workflows, states, events, actors, commands, feedback and alternate scenarios.</w:t>
      </w:r>
    </w:p>
    <w:p>
      <w:pPr>
        <w:pStyle w:val="ListBullet"/>
      </w:pPr>
      <w:r>
        <w:t>Complete Phase-1 reconciliation discovered during Phase 3.</w:t>
      </w:r>
    </w:p>
    <w:p>
      <w:pPr>
        <w:pStyle w:val="ListBullet"/>
      </w:pPr>
      <w:r>
        <w:t>Ensure every workflow has sensing, contextualisation, analysis, decision, authorised action/recommendation and feedback.</w:t>
      </w:r>
    </w:p>
    <w:p>
      <w:pPr>
        <w:pStyle w:val="ListBullet"/>
      </w:pPr>
      <w:r>
        <w:t>Include alternate, degraded, failure and recovery scenarios.</w:t>
      </w:r>
    </w:p>
    <w:p>
      <w:pPr>
        <w:pStyle w:val="ListBullet"/>
      </w:pPr>
      <w:r>
        <w:t>Distinguish human approval from automated or simulated action.</w:t>
      </w:r>
    </w:p>
    <w:p>
      <w:pPr>
        <w:pStyle w:val="ListBullet"/>
      </w:pPr>
      <w:r>
        <w:t>Map workflows to measurable KPIs and evidence.</w:t>
      </w:r>
    </w:p>
    <w:p>
      <w:pPr>
        <w:pStyle w:val="ListBullet"/>
      </w:pPr>
      <w:r>
        <w:t>Complete formal Gate 3 review and baseline freeze.</w:t>
      </w:r>
    </w:p>
    <w:p>
      <w:pPr>
        <w:pStyle w:val="Heading2"/>
      </w:pPr>
      <w:r>
        <w:t>Phase 4 — Open-Loop Simulation</w:t>
      </w:r>
    </w:p>
    <w:p>
      <w:r>
        <w:t>Primary outcome: Validate sensing, processing, QAI and recommendation flows without automated actuation.</w:t>
      </w:r>
    </w:p>
    <w:p>
      <w:pPr>
        <w:pStyle w:val="ListBullet"/>
      </w:pPr>
      <w:r>
        <w:t>Implement the minimum executable vertical slice.</w:t>
      </w:r>
    </w:p>
    <w:p>
      <w:pPr>
        <w:pStyle w:val="ListBullet"/>
      </w:pPr>
      <w:r>
        <w:t>Run deterministic synthetic scenarios first.</w:t>
      </w:r>
    </w:p>
    <w:p>
      <w:pPr>
        <w:pStyle w:val="ListBullet"/>
      </w:pPr>
      <w:r>
        <w:t>Connect virtual sensors → edge/cloud processing → Digital Farm Twin → classical/AI/QAI decision logic.</w:t>
      </w:r>
    </w:p>
    <w:p>
      <w:pPr>
        <w:pStyle w:val="ListBullet"/>
      </w:pPr>
      <w:r>
        <w:t>Generate recommendations without physical actuation.</w:t>
      </w:r>
    </w:p>
    <w:p>
      <w:pPr>
        <w:pStyle w:val="ListBullet"/>
      </w:pPr>
      <w:r>
        <w:t>Compare with classical baseline where applicable.</w:t>
      </w:r>
    </w:p>
    <w:p>
      <w:pPr>
        <w:pStyle w:val="ListBullet"/>
      </w:pPr>
      <w:r>
        <w:t>Measure latency, data quality, repeatability, recommendation quality and resource consumption.</w:t>
      </w:r>
    </w:p>
    <w:p>
      <w:pPr>
        <w:pStyle w:val="ListBullet"/>
      </w:pPr>
      <w:r>
        <w:t>Add economic/resource models for cost, water, energy, workforce, inventory and risk where justified.</w:t>
      </w:r>
    </w:p>
    <w:p>
      <w:pPr>
        <w:pStyle w:val="ListBullet"/>
      </w:pPr>
      <w:r>
        <w:t>Record experiment input, configuration, model version, output, KPI and evidence.</w:t>
      </w:r>
    </w:p>
    <w:p>
      <w:pPr>
        <w:pStyle w:val="Heading2"/>
      </w:pPr>
      <w:r>
        <w:t>Phase 5 — Closed-Loop CPS Simulation</w:t>
      </w:r>
    </w:p>
    <w:p>
      <w:r>
        <w:t>Primary outcome: Decision → actuation → changed state → sensing feedback cycles.</w:t>
      </w:r>
    </w:p>
    <w:p>
      <w:pPr>
        <w:pStyle w:val="ListBullet"/>
      </w:pPr>
      <w:r>
        <w:t>Introduce simulated actuation before physical control.</w:t>
      </w:r>
    </w:p>
    <w:p>
      <w:pPr>
        <w:pStyle w:val="ListBullet"/>
      </w:pPr>
      <w:r>
        <w:t>Model pump/valve or other action interfaces as controlled/simulated endpoints.</w:t>
      </w:r>
    </w:p>
    <w:p>
      <w:pPr>
        <w:pStyle w:val="ListBullet"/>
      </w:pPr>
      <w:r>
        <w:t>Validate state transition and feedback timing.</w:t>
      </w:r>
    </w:p>
    <w:p>
      <w:pPr>
        <w:pStyle w:val="ListBullet"/>
      </w:pPr>
      <w:r>
        <w:t>Test normal, failure, degraded and recovery scenarios.</w:t>
      </w:r>
    </w:p>
    <w:p>
      <w:pPr>
        <w:pStyle w:val="ListBullet"/>
      </w:pPr>
      <w:r>
        <w:t>Test human approval, override and safe-stop paths.</w:t>
      </w:r>
    </w:p>
    <w:p>
      <w:pPr>
        <w:pStyle w:val="ListBullet"/>
      </w:pPr>
      <w:r>
        <w:t>Measure stability, resource impact and recovery/value metrics.</w:t>
      </w:r>
    </w:p>
    <w:p>
      <w:pPr>
        <w:pStyle w:val="ListBullet"/>
      </w:pPr>
      <w:r>
        <w:t>Do not move to real actuation without appropriate evidence and safety boundaries.</w:t>
      </w:r>
    </w:p>
    <w:p>
      <w:pPr>
        <w:pStyle w:val="Heading2"/>
      </w:pPr>
      <w:r>
        <w:t>Phase 6 — QAI Advantage &amp; Value Evaluation</w:t>
      </w:r>
    </w:p>
    <w:p>
      <w:r>
        <w:t>Primary outcome: Compare QAI-enabled approaches with classical baselines and measure value.</w:t>
      </w:r>
    </w:p>
    <w:p>
      <w:pPr>
        <w:pStyle w:val="ListBullet"/>
      </w:pPr>
      <w:r>
        <w:t>Define a fixed classical baseline.</w:t>
      </w:r>
    </w:p>
    <w:p>
      <w:pPr>
        <w:pStyle w:val="ListBullet"/>
      </w:pPr>
      <w:r>
        <w:t>Evaluate classical optimisation, AI/ML, QAI-inspired and optional quantum execution paths as appropriate.</w:t>
      </w:r>
    </w:p>
    <w:p>
      <w:pPr>
        <w:pStyle w:val="ListBullet"/>
      </w:pPr>
      <w:r>
        <w:t>Apply the Quantum Advantage Gate: quality, latency, resource demand, cost and evidence.</w:t>
      </w:r>
    </w:p>
    <w:p>
      <w:pPr>
        <w:pStyle w:val="ListBullet"/>
      </w:pPr>
      <w:r>
        <w:t>Require measured evidence before claiming quantum advantage.</w:t>
      </w:r>
    </w:p>
    <w:p>
      <w:pPr>
        <w:pStyle w:val="ListBullet"/>
      </w:pPr>
      <w:r>
        <w:t>Evaluate cost, availability, resource use, resilience, waste/risk and expected value.</w:t>
      </w:r>
    </w:p>
    <w:p>
      <w:pPr>
        <w:pStyle w:val="ListBullet"/>
      </w:pPr>
      <w:r>
        <w:t>Evaluate 'Right Crop – Right Place – Right Time – Right Quantity – Right Price' where regional optimisation is in scope.</w:t>
      </w:r>
    </w:p>
    <w:p>
      <w:pPr>
        <w:pStyle w:val="ListBullet"/>
      </w:pPr>
      <w:r>
        <w:t>Document where QAI adds value, where it does not, and remaining evidence gaps.</w:t>
      </w:r>
    </w:p>
    <w:p>
      <w:pPr>
        <w:pStyle w:val="Heading2"/>
      </w:pPr>
      <w:r>
        <w:t>Phase 7 — Model Validation &amp; Promotion</w:t>
      </w:r>
    </w:p>
    <w:p>
      <w:r>
        <w:t>Primary outcome: Validated models and controlled promotion criteria.</w:t>
      </w:r>
    </w:p>
    <w:p>
      <w:pPr>
        <w:pStyle w:val="ListBullet"/>
      </w:pPr>
      <w:r>
        <w:t>Create model records covering purpose, inputs, assumptions, fidelity, validity range and limitations.</w:t>
      </w:r>
    </w:p>
    <w:p>
      <w:pPr>
        <w:pStyle w:val="ListBullet"/>
      </w:pPr>
      <w:r>
        <w:t>Validate against emulation, higher-fidelity models, real measurements or independent reference data where available.</w:t>
      </w:r>
    </w:p>
    <w:p>
      <w:pPr>
        <w:pStyle w:val="ListBullet"/>
      </w:pPr>
      <w:r>
        <w:t>Record uncertainty and missing/noisy/delayed/conflicting data.</w:t>
      </w:r>
    </w:p>
    <w:p>
      <w:pPr>
        <w:pStyle w:val="ListBullet"/>
      </w:pPr>
      <w:r>
        <w:t>Establish test cases, acceptance thresholds and reproducibility requirements.</w:t>
      </w:r>
    </w:p>
    <w:p>
      <w:pPr>
        <w:pStyle w:val="ListBullet"/>
      </w:pPr>
      <w:r>
        <w:t>Define promotion states: research → evaluated → validated → approved/promoted.</w:t>
      </w:r>
    </w:p>
    <w:p>
      <w:pPr>
        <w:pStyle w:val="ListBullet"/>
      </w:pPr>
      <w:r>
        <w:t>Maintain provenance, version control and rollback.</w:t>
      </w:r>
    </w:p>
    <w:p>
      <w:pPr>
        <w:pStyle w:val="Heading2"/>
      </w:pPr>
      <w:r>
        <w:t>Phase 8 — Digital Twin Production Transition</w:t>
      </w:r>
    </w:p>
    <w:p>
      <w:r>
        <w:t>Primary outcome: Production-oriented Digital Twin/CPS operation using promoted models.</w:t>
      </w:r>
    </w:p>
    <w:p>
      <w:pPr>
        <w:pStyle w:val="ListBullet"/>
      </w:pPr>
      <w:r>
        <w:t>Define production Twin architecture and operational boundary.</w:t>
      </w:r>
    </w:p>
    <w:p>
      <w:pPr>
        <w:pStyle w:val="ListBullet"/>
      </w:pPr>
      <w:r>
        <w:t>Transition validated virtual asset/state models.</w:t>
      </w:r>
    </w:p>
    <w:p>
      <w:pPr>
        <w:pStyle w:val="ListBullet"/>
      </w:pPr>
      <w:r>
        <w:t>Introduce production telemetry, observability and lifecycle management.</w:t>
      </w:r>
    </w:p>
    <w:p>
      <w:pPr>
        <w:pStyle w:val="ListBullet"/>
      </w:pPr>
      <w:r>
        <w:t>Introduce ERP/external-service interfaces only where justified.</w:t>
      </w:r>
    </w:p>
    <w:p>
      <w:pPr>
        <w:pStyle w:val="ListBullet"/>
      </w:pPr>
      <w:r>
        <w:t>Establish operational data governance, privacy, security and audit controls.</w:t>
      </w:r>
    </w:p>
    <w:p>
      <w:pPr>
        <w:pStyle w:val="ListBullet"/>
      </w:pPr>
      <w:r>
        <w:t>Define deployment, backup, recovery and model-update procedures.</w:t>
      </w:r>
    </w:p>
    <w:p>
      <w:pPr>
        <w:pStyle w:val="ListBullet"/>
      </w:pPr>
      <w:r>
        <w:t>Keep research/pilot environment distinct from production.</w:t>
      </w:r>
    </w:p>
    <w:p>
      <w:pPr>
        <w:pStyle w:val="Heading2"/>
      </w:pPr>
      <w:r>
        <w:t>Phase 9 — QAI Lab Project Integration</w:t>
      </w:r>
    </w:p>
    <w:p>
      <w:r>
        <w:t>Primary outcome: Working Digital Farm framed as a controlled QAI Lab experiment/project.</w:t>
      </w:r>
    </w:p>
    <w:p>
      <w:pPr>
        <w:pStyle w:val="ListBullet"/>
      </w:pPr>
      <w:r>
        <w:t>Define QAI Lab experiment/project record.</w:t>
      </w:r>
    </w:p>
    <w:p>
      <w:pPr>
        <w:pStyle w:val="ListBullet"/>
      </w:pPr>
      <w:r>
        <w:t>Assign the project to the appropriate HoldCo organisational/subsidiary boundary when appropriate.</w:t>
      </w:r>
    </w:p>
    <w:p>
      <w:pPr>
        <w:pStyle w:val="ListBullet"/>
      </w:pPr>
      <w:r>
        <w:t>Record hypothesis, experiment configuration, datasets, models, compute path, results and evidence.</w:t>
      </w:r>
    </w:p>
    <w:p>
      <w:pPr>
        <w:pStyle w:val="ListBullet"/>
      </w:pPr>
      <w:r>
        <w:t>Connect research backlog to validated pilot gaps.</w:t>
      </w:r>
    </w:p>
    <w:p>
      <w:pPr>
        <w:pStyle w:val="ListBullet"/>
      </w:pPr>
      <w:r>
        <w:t>Create repeatable experiment templates for future QAI/CPS projects.</w:t>
      </w:r>
    </w:p>
    <w:p>
      <w:pPr>
        <w:pStyle w:val="ListBullet"/>
      </w:pPr>
      <w:r>
        <w:t>Keep architecture concepts, research results and production capabilities distinct.</w:t>
      </w:r>
    </w:p>
    <w:p>
      <w:pPr>
        <w:pStyle w:val="Heading2"/>
      </w:pPr>
      <w:r>
        <w:t>Phase 10 — Fabric &amp; Slice Integration</w:t>
      </w:r>
    </w:p>
    <w:p>
      <w:r>
        <w:t>Primary outcome: Governance, PMO, Track, Working Group, QAI Foundry, Technology Transfer Office, IP/patent and related slices.</w:t>
      </w:r>
    </w:p>
    <w:p>
      <w:pPr>
        <w:pStyle w:val="ListBullet"/>
      </w:pPr>
      <w:r>
        <w:t>Integrate after technical evidence is stable.</w:t>
      </w:r>
    </w:p>
    <w:p>
      <w:pPr>
        <w:pStyle w:val="ListBullet"/>
      </w:pPr>
      <w:r>
        <w:t>Add governance, program/portfolio and working-group views.</w:t>
      </w:r>
    </w:p>
    <w:p>
      <w:pPr>
        <w:pStyle w:val="ListBullet"/>
      </w:pPr>
      <w:r>
        <w:t>Add IP/patent candidate workflow with evidence and prior-art gates.</w:t>
      </w:r>
    </w:p>
    <w:p>
      <w:pPr>
        <w:pStyle w:val="ListBullet"/>
      </w:pPr>
      <w:r>
        <w:t>Add technology-transfer and research-to-commercialisation pathway.</w:t>
      </w:r>
    </w:p>
    <w:p>
      <w:pPr>
        <w:pStyle w:val="ListBullet"/>
      </w:pPr>
      <w:r>
        <w:t>Add QAI Foundry/productisation path.</w:t>
      </w:r>
    </w:p>
    <w:p>
      <w:pPr>
        <w:pStyle w:val="ListBullet"/>
      </w:pPr>
      <w:r>
        <w:t>Connect security/trust, observability, timing, Digital Twin and resource fabrics where justified.</w:t>
      </w:r>
    </w:p>
    <w:p>
      <w:pPr>
        <w:pStyle w:val="ListBullet"/>
      </w:pPr>
      <w:r>
        <w:t>Keep advanced photonic/quantum networking, quantum sensing and advanced hardware as future/research unless validated.</w:t>
      </w:r>
    </w:p>
    <w:p>
      <w:pPr>
        <w:pStyle w:val="Heading2"/>
      </w:pPr>
      <w:r>
        <w:t>Phase 11 — Vendor Benchmark &amp; Differentiation</w:t>
      </w:r>
    </w:p>
    <w:p>
      <w:r>
        <w:t>Primary outcome: Documented comparison of relevant vendor simulator/Digital Twin capabilities and QAI Digital Farm differentiation.</w:t>
      </w:r>
    </w:p>
    <w:p>
      <w:pPr>
        <w:pStyle w:val="ListBullet"/>
      </w:pPr>
      <w:r>
        <w:t>Define vendor-neutral comparison framework.</w:t>
      </w:r>
    </w:p>
    <w:p>
      <w:pPr>
        <w:pStyle w:val="ListBullet"/>
      </w:pPr>
      <w:r>
        <w:t>Benchmark only capabilities relevant to the validated architecture.</w:t>
      </w:r>
    </w:p>
    <w:p>
      <w:pPr>
        <w:pStyle w:val="ListBullet"/>
      </w:pPr>
      <w:r>
        <w:t>Compare Digital Twin, IoT/edge, simulation, orchestration, AI/optimisation, interoperability, security, observability and deployment.</w:t>
      </w:r>
    </w:p>
    <w:p>
      <w:pPr>
        <w:pStyle w:val="ListBullet"/>
      </w:pPr>
      <w:r>
        <w:t>Separate vendor capability from FAEP architecture capability.</w:t>
      </w:r>
    </w:p>
    <w:p>
      <w:pPr>
        <w:pStyle w:val="ListBullet"/>
      </w:pPr>
      <w:r>
        <w:t>Document build/buy/integrate decisions.</w:t>
      </w:r>
    </w:p>
    <w:p>
      <w:pPr>
        <w:pStyle w:val="ListBullet"/>
      </w:pPr>
      <w:r>
        <w:t>Produce evidence-based customer differentiation matrix.</w:t>
      </w:r>
    </w:p>
    <w:p>
      <w:pPr>
        <w:pStyle w:val="Heading2"/>
      </w:pPr>
      <w:r>
        <w:t>Phase 12 — Commercialisation &amp; Post-Pilot Readiness</w:t>
      </w:r>
    </w:p>
    <w:p>
      <w:r>
        <w:t>Primary outcome: Evidence and proposition needed for SaaS/service offers and post-pilot transition.</w:t>
      </w:r>
    </w:p>
    <w:p>
      <w:pPr>
        <w:pStyle w:val="ListBullet"/>
      </w:pPr>
      <w:r>
        <w:t>Package validated pilot as a minimum commercial proposition.</w:t>
      </w:r>
    </w:p>
    <w:p>
      <w:pPr>
        <w:pStyle w:val="ListBullet"/>
      </w:pPr>
      <w:r>
        <w:t>Define target customer segments, use cases, service boundaries and deployment options.</w:t>
      </w:r>
    </w:p>
    <w:p>
      <w:pPr>
        <w:pStyle w:val="ListBullet"/>
      </w:pPr>
      <w:r>
        <w:t>Create SaaS/service architecture and operating model.</w:t>
      </w:r>
    </w:p>
    <w:p>
      <w:pPr>
        <w:pStyle w:val="ListBullet"/>
      </w:pPr>
      <w:r>
        <w:t>Translate measured technical outcomes into customer-relevant value evidence.</w:t>
      </w:r>
    </w:p>
    <w:p>
      <w:pPr>
        <w:pStyle w:val="ListBullet"/>
      </w:pPr>
      <w:r>
        <w:t>Create pricing/cost assumptions without presenting them as achieved revenue.</w:t>
      </w:r>
    </w:p>
    <w:p>
      <w:pPr>
        <w:pStyle w:val="ListBullet"/>
      </w:pPr>
      <w:r>
        <w:t>Define optional modules and post-pilot roadmap.</w:t>
      </w:r>
    </w:p>
    <w:p>
      <w:pPr>
        <w:pStyle w:val="ListBullet"/>
      </w:pPr>
      <w:r>
        <w:t>Create implementation, support, training and model-lifecycle requirements.</w:t>
      </w:r>
    </w:p>
    <w:p>
      <w:pPr>
        <w:pStyle w:val="ListBullet"/>
      </w:pPr>
      <w:r>
        <w:t>Create proposal/demo/evidence package for customers, research partners and funding opportunities.</w:t>
      </w:r>
    </w:p>
    <w:p>
      <w:pPr>
        <w:pStyle w:val="ListBullet"/>
      </w:pPr>
      <w:r>
        <w:t>Define scale path: single farm → multi-farm/regional Twin → rural-urban CPS → broader food-system optimisation.</w:t>
      </w:r>
    </w:p>
    <w:p>
      <w:pPr>
        <w:pStyle w:val="ListBullet"/>
      </w:pPr>
      <w:r>
        <w:t>Complete Gate 12 with Go / Iterate / Partner / Research decision.</w:t>
      </w:r>
    </w:p>
    <w:p>
      <w:pPr>
        <w:pStyle w:val="Heading1"/>
      </w:pPr>
      <w:r>
        <w:t>5. Cross-Phase Additions Catalogue</w:t>
      </w:r>
    </w:p>
    <w:p>
      <w:r>
        <w:t>These capabilities may be introduced progressively. Inclusion in the catalogue does not imply pilot procurement or deployment.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Capability Group</w:t>
            </w:r>
          </w:p>
        </w:tc>
        <w:tc>
          <w:tcPr>
            <w:tcW w:type="dxa" w:w="2556"/>
          </w:tcPr>
          <w:p>
            <w:r>
              <w:t>First Useful Phase</w:t>
            </w:r>
          </w:p>
        </w:tc>
        <w:tc>
          <w:tcPr>
            <w:tcW w:type="dxa" w:w="2556"/>
          </w:tcPr>
          <w:p>
            <w:r>
              <w:t>Role</w:t>
            </w:r>
          </w:p>
        </w:tc>
        <w:tc>
          <w:tcPr>
            <w:tcW w:type="dxa" w:w="2556"/>
          </w:tcPr>
          <w:p>
            <w:r>
              <w:t>Default Status</w:t>
            </w:r>
          </w:p>
        </w:tc>
      </w:tr>
      <w:tr>
        <w:tc>
          <w:tcPr>
            <w:tcW w:type="dxa" w:w="2556"/>
          </w:tcPr>
          <w:p>
            <w:r>
              <w:t>Physical sensing &amp; edge</w:t>
            </w:r>
          </w:p>
        </w:tc>
        <w:tc>
          <w:tcPr>
            <w:tcW w:type="dxa" w:w="2556"/>
          </w:tcPr>
          <w:p>
            <w:r>
              <w:t>1–2</w:t>
            </w:r>
          </w:p>
        </w:tc>
        <w:tc>
          <w:tcPr>
            <w:tcW w:type="dxa" w:w="2556"/>
          </w:tcPr>
          <w:p>
            <w:r>
              <w:t>Real sensors, gateway, edge compute and interfaces</w:t>
            </w:r>
          </w:p>
        </w:tc>
        <w:tc>
          <w:tcPr>
            <w:tcW w:type="dxa" w:w="2556"/>
          </w:tcPr>
          <w:p>
            <w:r>
              <w:t>Pilot</w:t>
            </w:r>
          </w:p>
        </w:tc>
      </w:tr>
      <w:tr>
        <w:tc>
          <w:tcPr>
            <w:tcW w:type="dxa" w:w="2556"/>
          </w:tcPr>
          <w:p>
            <w:r>
              <w:t>Azure IoT / edge runtime</w:t>
            </w:r>
          </w:p>
        </w:tc>
        <w:tc>
          <w:tcPr>
            <w:tcW w:type="dxa" w:w="2556"/>
          </w:tcPr>
          <w:p>
            <w:r>
              <w:t>1–4</w:t>
            </w:r>
          </w:p>
        </w:tc>
        <w:tc>
          <w:tcPr>
            <w:tcW w:type="dxa" w:w="2556"/>
          </w:tcPr>
          <w:p>
            <w:r>
              <w:t>Remote deployment, local processing and telemetry</w:t>
            </w:r>
          </w:p>
        </w:tc>
        <w:tc>
          <w:tcPr>
            <w:tcW w:type="dxa" w:w="2556"/>
          </w:tcPr>
          <w:p>
            <w:r>
              <w:t>Pilot / Candidate</w:t>
            </w:r>
          </w:p>
        </w:tc>
      </w:tr>
      <w:tr>
        <w:tc>
          <w:tcPr>
            <w:tcW w:type="dxa" w:w="2556"/>
          </w:tcPr>
          <w:p>
            <w:r>
              <w:t>AI inference / fusion</w:t>
            </w:r>
          </w:p>
        </w:tc>
        <w:tc>
          <w:tcPr>
            <w:tcW w:type="dxa" w:w="2556"/>
          </w:tcPr>
          <w:p>
            <w:r>
              <w:t>2–6</w:t>
            </w:r>
          </w:p>
        </w:tc>
        <w:tc>
          <w:tcPr>
            <w:tcW w:type="dxa" w:w="2556"/>
          </w:tcPr>
          <w:p>
            <w:r>
              <w:t>Edge/cloud analytics and contextualisation</w:t>
            </w:r>
          </w:p>
        </w:tc>
        <w:tc>
          <w:tcPr>
            <w:tcW w:type="dxa" w:w="2556"/>
          </w:tcPr>
          <w:p>
            <w:r>
              <w:t>Pilot</w:t>
            </w:r>
          </w:p>
        </w:tc>
      </w:tr>
      <w:tr>
        <w:tc>
          <w:tcPr>
            <w:tcW w:type="dxa" w:w="2556"/>
          </w:tcPr>
          <w:p>
            <w:r>
              <w:t>Digital Farm Twin</w:t>
            </w:r>
          </w:p>
        </w:tc>
        <w:tc>
          <w:tcPr>
            <w:tcW w:type="dxa" w:w="2556"/>
          </w:tcPr>
          <w:p>
            <w:r>
              <w:t>1–8</w:t>
            </w:r>
          </w:p>
        </w:tc>
        <w:tc>
          <w:tcPr>
            <w:tcW w:type="dxa" w:w="2556"/>
          </w:tcPr>
          <w:p>
            <w:r>
              <w:t>State representation, simulation and production transition</w:t>
            </w:r>
          </w:p>
        </w:tc>
        <w:tc>
          <w:tcPr>
            <w:tcW w:type="dxa" w:w="2556"/>
          </w:tcPr>
          <w:p>
            <w:r>
              <w:t>Core</w:t>
            </w:r>
          </w:p>
        </w:tc>
      </w:tr>
      <w:tr>
        <w:tc>
          <w:tcPr>
            <w:tcW w:type="dxa" w:w="2556"/>
          </w:tcPr>
          <w:p>
            <w:r>
              <w:t>Economic intelligence</w:t>
            </w:r>
          </w:p>
        </w:tc>
        <w:tc>
          <w:tcPr>
            <w:tcW w:type="dxa" w:w="2556"/>
          </w:tcPr>
          <w:p>
            <w:r>
              <w:t>3–6</w:t>
            </w:r>
          </w:p>
        </w:tc>
        <w:tc>
          <w:tcPr>
            <w:tcW w:type="dxa" w:w="2556"/>
          </w:tcPr>
          <w:p>
            <w:r>
              <w:t>Cost, resource, workforce, inventory, resilience and value</w:t>
            </w:r>
          </w:p>
        </w:tc>
        <w:tc>
          <w:tcPr>
            <w:tcW w:type="dxa" w:w="2556"/>
          </w:tcPr>
          <w:p>
            <w:r>
              <w:t>Core model</w:t>
            </w:r>
          </w:p>
        </w:tc>
      </w:tr>
      <w:tr>
        <w:tc>
          <w:tcPr>
            <w:tcW w:type="dxa" w:w="2556"/>
          </w:tcPr>
          <w:p>
            <w:r>
              <w:t>Water intelligence</w:t>
            </w:r>
          </w:p>
        </w:tc>
        <w:tc>
          <w:tcPr>
            <w:tcW w:type="dxa" w:w="2556"/>
          </w:tcPr>
          <w:p>
            <w:r>
              <w:t>1–6</w:t>
            </w:r>
          </w:p>
        </w:tc>
        <w:tc>
          <w:tcPr>
            <w:tcW w:type="dxa" w:w="2556"/>
          </w:tcPr>
          <w:p>
            <w:r>
              <w:t>Water state, quality, storage, leakage and allocation</w:t>
            </w:r>
          </w:p>
        </w:tc>
        <w:tc>
          <w:tcPr>
            <w:tcW w:type="dxa" w:w="2556"/>
          </w:tcPr>
          <w:p>
            <w:r>
              <w:t>Pilot / Candidate</w:t>
            </w:r>
          </w:p>
        </w:tc>
      </w:tr>
      <w:tr>
        <w:tc>
          <w:tcPr>
            <w:tcW w:type="dxa" w:w="2556"/>
          </w:tcPr>
          <w:p>
            <w:r>
              <w:t>Greenhouse intelligence</w:t>
            </w:r>
          </w:p>
        </w:tc>
        <w:tc>
          <w:tcPr>
            <w:tcW w:type="dxa" w:w="2556"/>
          </w:tcPr>
          <w:p>
            <w:r>
              <w:t>2–8</w:t>
            </w:r>
          </w:p>
        </w:tc>
        <w:tc>
          <w:tcPr>
            <w:tcW w:type="dxa" w:w="2556"/>
          </w:tcPr>
          <w:p>
            <w:r>
              <w:t>Microclimate and protected-production optimisation</w:t>
            </w:r>
          </w:p>
        </w:tc>
        <w:tc>
          <w:tcPr>
            <w:tcW w:type="dxa" w:w="2556"/>
          </w:tcPr>
          <w:p>
            <w:r>
              <w:t>Candidate / Optional</w:t>
            </w:r>
          </w:p>
        </w:tc>
      </w:tr>
      <w:tr>
        <w:tc>
          <w:tcPr>
            <w:tcW w:type="dxa" w:w="2556"/>
          </w:tcPr>
          <w:p>
            <w:r>
              <w:t>UAV / robotics</w:t>
            </w:r>
          </w:p>
        </w:tc>
        <w:tc>
          <w:tcPr>
            <w:tcW w:type="dxa" w:w="2556"/>
          </w:tcPr>
          <w:p>
            <w:r>
              <w:t>2–10</w:t>
            </w:r>
          </w:p>
        </w:tc>
        <w:tc>
          <w:tcPr>
            <w:tcW w:type="dxa" w:w="2556"/>
          </w:tcPr>
          <w:p>
            <w:r>
              <w:t>Inspection, mapping and advanced mobility extension</w:t>
            </w:r>
          </w:p>
        </w:tc>
        <w:tc>
          <w:tcPr>
            <w:tcW w:type="dxa" w:w="2556"/>
          </w:tcPr>
          <w:p>
            <w:r>
              <w:t>Future / Optional</w:t>
            </w:r>
          </w:p>
        </w:tc>
      </w:tr>
      <w:tr>
        <w:tc>
          <w:tcPr>
            <w:tcW w:type="dxa" w:w="2556"/>
          </w:tcPr>
          <w:p>
            <w:r>
              <w:t>Advanced nano/quantum sensing</w:t>
            </w:r>
          </w:p>
        </w:tc>
        <w:tc>
          <w:tcPr>
            <w:tcW w:type="dxa" w:w="2556"/>
          </w:tcPr>
          <w:p>
            <w:r>
              <w:t>1–11</w:t>
            </w:r>
          </w:p>
        </w:tc>
        <w:tc>
          <w:tcPr>
            <w:tcW w:type="dxa" w:w="2556"/>
          </w:tcPr>
          <w:p>
            <w:r>
              <w:t>Research sensing extension</w:t>
            </w:r>
          </w:p>
        </w:tc>
        <w:tc>
          <w:tcPr>
            <w:tcW w:type="dxa" w:w="2556"/>
          </w:tcPr>
          <w:p>
            <w:r>
              <w:t>Research</w:t>
            </w:r>
          </w:p>
        </w:tc>
      </w:tr>
      <w:tr>
        <w:tc>
          <w:tcPr>
            <w:tcW w:type="dxa" w:w="2556"/>
          </w:tcPr>
          <w:p>
            <w:r>
              <w:t>Quantum optimisation</w:t>
            </w:r>
          </w:p>
        </w:tc>
        <w:tc>
          <w:tcPr>
            <w:tcW w:type="dxa" w:w="2556"/>
          </w:tcPr>
          <w:p>
            <w:r>
              <w:t>4–7</w:t>
            </w:r>
          </w:p>
        </w:tc>
        <w:tc>
          <w:tcPr>
            <w:tcW w:type="dxa" w:w="2556"/>
          </w:tcPr>
          <w:p>
            <w:r>
              <w:t>Targeted comparative experiments</w:t>
            </w:r>
          </w:p>
        </w:tc>
        <w:tc>
          <w:tcPr>
            <w:tcW w:type="dxa" w:w="2556"/>
          </w:tcPr>
          <w:p>
            <w:r>
              <w:t>Evaluation</w:t>
            </w:r>
          </w:p>
        </w:tc>
      </w:tr>
      <w:tr>
        <w:tc>
          <w:tcPr>
            <w:tcW w:type="dxa" w:w="2556"/>
          </w:tcPr>
          <w:p>
            <w:r>
              <w:t>Remote QPU / quantum adapter</w:t>
            </w:r>
          </w:p>
        </w:tc>
        <w:tc>
          <w:tcPr>
            <w:tcW w:type="dxa" w:w="2556"/>
          </w:tcPr>
          <w:p>
            <w:r>
              <w:t>4–7</w:t>
            </w:r>
          </w:p>
        </w:tc>
        <w:tc>
          <w:tcPr>
            <w:tcW w:type="dxa" w:w="2556"/>
          </w:tcPr>
          <w:p>
            <w:r>
              <w:t>Optional quantum execution path</w:t>
            </w:r>
          </w:p>
        </w:tc>
        <w:tc>
          <w:tcPr>
            <w:tcW w:type="dxa" w:w="2556"/>
          </w:tcPr>
          <w:p>
            <w:r>
              <w:t>Evaluation / Future</w:t>
            </w:r>
          </w:p>
        </w:tc>
      </w:tr>
      <w:tr>
        <w:tc>
          <w:tcPr>
            <w:tcW w:type="dxa" w:w="2556"/>
          </w:tcPr>
          <w:p>
            <w:r>
              <w:t>Security &amp; trust</w:t>
            </w:r>
          </w:p>
        </w:tc>
        <w:tc>
          <w:tcPr>
            <w:tcW w:type="dxa" w:w="2556"/>
          </w:tcPr>
          <w:p>
            <w:r>
              <w:t>1–12</w:t>
            </w:r>
          </w:p>
        </w:tc>
        <w:tc>
          <w:tcPr>
            <w:tcW w:type="dxa" w:w="2556"/>
          </w:tcPr>
          <w:p>
            <w:r>
              <w:t>Identity, provenance, privacy, audit and secure interfaces</w:t>
            </w:r>
          </w:p>
        </w:tc>
        <w:tc>
          <w:tcPr>
            <w:tcW w:type="dxa" w:w="2556"/>
          </w:tcPr>
          <w:p>
            <w:r>
              <w:t>Core</w:t>
            </w:r>
          </w:p>
        </w:tc>
      </w:tr>
      <w:tr>
        <w:tc>
          <w:tcPr>
            <w:tcW w:type="dxa" w:w="2556"/>
          </w:tcPr>
          <w:p>
            <w:r>
              <w:t>Observability &amp; timing</w:t>
            </w:r>
          </w:p>
        </w:tc>
        <w:tc>
          <w:tcPr>
            <w:tcW w:type="dxa" w:w="2556"/>
          </w:tcPr>
          <w:p>
            <w:r>
              <w:t>1–12</w:t>
            </w:r>
          </w:p>
        </w:tc>
        <w:tc>
          <w:tcPr>
            <w:tcW w:type="dxa" w:w="2556"/>
          </w:tcPr>
          <w:p>
            <w:r>
              <w:t>State, performance, latency and experiment evidence</w:t>
            </w:r>
          </w:p>
        </w:tc>
        <w:tc>
          <w:tcPr>
            <w:tcW w:type="dxa" w:w="2556"/>
          </w:tcPr>
          <w:p>
            <w:r>
              <w:t>Core</w:t>
            </w:r>
          </w:p>
        </w:tc>
      </w:tr>
      <w:tr>
        <w:tc>
          <w:tcPr>
            <w:tcW w:type="dxa" w:w="2556"/>
          </w:tcPr>
          <w:p>
            <w:r>
              <w:t>Fabrics / slices</w:t>
            </w:r>
          </w:p>
        </w:tc>
        <w:tc>
          <w:tcPr>
            <w:tcW w:type="dxa" w:w="2556"/>
          </w:tcPr>
          <w:p>
            <w:r>
              <w:t>9–10</w:t>
            </w:r>
          </w:p>
        </w:tc>
        <w:tc>
          <w:tcPr>
            <w:tcW w:type="dxa" w:w="2556"/>
          </w:tcPr>
          <w:p>
            <w:r>
              <w:t>Organisational, IP, PMO, technology-transfer and platform extensions</w:t>
            </w:r>
          </w:p>
        </w:tc>
        <w:tc>
          <w:tcPr>
            <w:tcW w:type="dxa" w:w="2556"/>
          </w:tcPr>
          <w:p>
            <w:r>
              <w:t>Post-pilot</w:t>
            </w:r>
          </w:p>
        </w:tc>
      </w:tr>
      <w:tr>
        <w:tc>
          <w:tcPr>
            <w:tcW w:type="dxa" w:w="2556"/>
          </w:tcPr>
          <w:p>
            <w:r>
              <w:t>Vendor benchmark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External capability comparison</w:t>
            </w:r>
          </w:p>
        </w:tc>
        <w:tc>
          <w:tcPr>
            <w:tcW w:type="dxa" w:w="2556"/>
          </w:tcPr>
          <w:p>
            <w:r>
              <w:t>Post-pilot</w:t>
            </w:r>
          </w:p>
        </w:tc>
      </w:tr>
      <w:tr>
        <w:tc>
          <w:tcPr>
            <w:tcW w:type="dxa" w:w="2556"/>
          </w:tcPr>
          <w:p>
            <w:r>
              <w:t>Commercial SaaS/service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Productisation, pricing, deployment and support</w:t>
            </w:r>
          </w:p>
        </w:tc>
        <w:tc>
          <w:tcPr>
            <w:tcW w:type="dxa" w:w="2556"/>
          </w:tcPr>
          <w:p>
            <w:r>
              <w:t>Post-pilot</w:t>
            </w:r>
          </w:p>
        </w:tc>
      </w:tr>
    </w:tbl>
    <w:p>
      <w:pPr>
        <w:pStyle w:val="Heading1"/>
      </w:pPr>
      <w:r>
        <w:t>6. Pilot / Optional / Future Boundary</w:t>
      </w:r>
    </w:p>
    <w:p>
      <w:pPr>
        <w:pStyle w:val="ListBullet"/>
      </w:pPr>
      <w:r>
        <w:t>🟢 PILOT — actually included in the current deployment.</w:t>
      </w:r>
    </w:p>
    <w:p>
      <w:pPr>
        <w:pStyle w:val="ListBullet"/>
      </w:pPr>
      <w:r>
        <w:t>🟡 PILOT CANDIDATE — technically suitable, but selection or validation is pending.</w:t>
      </w:r>
    </w:p>
    <w:p>
      <w:pPr>
        <w:pStyle w:val="ListBullet"/>
      </w:pPr>
      <w:r>
        <w:t>🔵 OPTIONAL — available when a customer/use case requires it.</w:t>
      </w:r>
    </w:p>
    <w:p>
      <w:pPr>
        <w:pStyle w:val="ListBullet"/>
      </w:pPr>
      <w:r>
        <w:t>🟣 FUTURE — later deployment or another industry/scale.</w:t>
      </w:r>
    </w:p>
    <w:p>
      <w:pPr>
        <w:pStyle w:val="ListBullet"/>
      </w:pPr>
      <w:r>
        <w:t>⚪ EVALUATION / RESEARCH — requires technical or scientific validation before promotion.</w:t>
      </w:r>
    </w:p>
    <w:p>
      <w:pPr>
        <w:pStyle w:val="Heading1"/>
      </w:pPr>
      <w:r>
        <w:t>7. Physical–Logical–Runtime Boundary</w:t>
      </w:r>
    </w:p>
    <w:p>
      <w:pPr>
        <w:pStyle w:val="ListBullet"/>
      </w:pPr>
      <w:r>
        <w:t>Physical: sensors, gateway, edge computer, storage, networking, camera and power.</w:t>
      </w:r>
    </w:p>
    <w:p>
      <w:pPr>
        <w:pStyle w:val="ListBullet"/>
      </w:pPr>
      <w:r>
        <w:t>Logical: virtual assets, Digital Twin entities, workflows, QAI pipeline, economic models and control policies.</w:t>
      </w:r>
    </w:p>
    <w:p>
      <w:pPr>
        <w:pStyle w:val="ListBullet"/>
      </w:pPr>
      <w:r>
        <w:t>Runtime: containers, edge runtime, inference runtime, orchestration and deployment mechanisms.</w:t>
      </w:r>
    </w:p>
    <w:p>
      <w:pPr>
        <w:pStyle w:val="ListBullet"/>
      </w:pPr>
      <w:r>
        <w:t>Control boundary: deterministic/native controllers remain responsible for control-critical functions.</w:t>
      </w:r>
    </w:p>
    <w:p>
      <w:pPr>
        <w:pStyle w:val="ListBullet"/>
      </w:pPr>
      <w:r>
        <w:t>Research boundary: QPU, quantum sensing, photonic networking and advanced hardware remain optional/future until evidence and need justify them.</w:t>
      </w:r>
    </w:p>
    <w:p>
      <w:pPr>
        <w:pStyle w:val="Heading1"/>
      </w:pPr>
      <w:r>
        <w:t>8. Phase Gate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Gate Question</w:t>
            </w:r>
          </w:p>
        </w:tc>
        <w:tc>
          <w:tcPr>
            <w:tcW w:type="dxa" w:w="2045"/>
          </w:tcPr>
          <w:p>
            <w:r>
              <w:t>Evidence Required</w:t>
            </w:r>
          </w:p>
        </w:tc>
        <w:tc>
          <w:tcPr>
            <w:tcW w:type="dxa" w:w="2045"/>
          </w:tcPr>
          <w:p>
            <w:r>
              <w:t>Owner / Role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  <w:tc>
          <w:tcPr>
            <w:tcW w:type="dxa" w:w="2045"/>
          </w:tcPr>
          <w:p>
            <w:r>
              <w:t>Decision</w:t>
            </w:r>
          </w:p>
        </w:tc>
      </w:tr>
      <w:tr>
        <w:tc>
          <w:tcPr>
            <w:tcW w:type="dxa" w:w="2045"/>
          </w:tcPr>
          <w:p>
            <w:r>
              <w:t>Is the phase outcome complete?</w:t>
            </w:r>
          </w:p>
        </w:tc>
        <w:tc>
          <w:tcPr>
            <w:tcW w:type="dxa" w:w="2045"/>
          </w:tcPr>
          <w:p>
            <w:r>
              <w:t>Defined deliverables and baseline</w:t>
            </w:r>
          </w:p>
        </w:tc>
        <w:tc>
          <w:tcPr>
            <w:tcW w:type="dxa" w:w="2045"/>
          </w:tcPr>
          <w:p>
            <w:r>
              <w:t>Project/System Lead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Are interfaces traceable?</w:t>
            </w:r>
          </w:p>
        </w:tc>
        <w:tc>
          <w:tcPr>
            <w:tcW w:type="dxa" w:w="2045"/>
          </w:tcPr>
          <w:p>
            <w:r>
              <w:t>Interface map and test evidence</w:t>
            </w:r>
          </w:p>
        </w:tc>
        <w:tc>
          <w:tcPr>
            <w:tcW w:type="dxa" w:w="2045"/>
          </w:tcPr>
          <w:p>
            <w:r>
              <w:t>Systems Engineering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Are assumptions explicit?</w:t>
            </w:r>
          </w:p>
        </w:tc>
        <w:tc>
          <w:tcPr>
            <w:tcW w:type="dxa" w:w="2045"/>
          </w:tcPr>
          <w:p>
            <w:r>
              <w:t>Assumption/data-quality record</w:t>
            </w:r>
          </w:p>
        </w:tc>
        <w:tc>
          <w:tcPr>
            <w:tcW w:type="dxa" w:w="2045"/>
          </w:tcPr>
          <w:p>
            <w:r>
              <w:t>Model Lead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Are results reproducible?</w:t>
            </w:r>
          </w:p>
        </w:tc>
        <w:tc>
          <w:tcPr>
            <w:tcW w:type="dxa" w:w="2045"/>
          </w:tcPr>
          <w:p>
            <w:r>
              <w:t>Versioned configuration and experiment record</w:t>
            </w:r>
          </w:p>
        </w:tc>
        <w:tc>
          <w:tcPr>
            <w:tcW w:type="dxa" w:w="2045"/>
          </w:tcPr>
          <w:p>
            <w:r>
              <w:t>Technical Lead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Are acceptance criteria met?</w:t>
            </w:r>
          </w:p>
        </w:tc>
        <w:tc>
          <w:tcPr>
            <w:tcW w:type="dxa" w:w="2045"/>
          </w:tcPr>
          <w:p>
            <w:r>
              <w:t>KPI/MVV/tolerance evidence</w:t>
            </w:r>
          </w:p>
        </w:tc>
        <w:tc>
          <w:tcPr>
            <w:tcW w:type="dxa" w:w="2045"/>
          </w:tcPr>
          <w:p>
            <w:r>
              <w:t>Validation Lead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Are safety/human controls adequate?</w:t>
            </w:r>
          </w:p>
        </w:tc>
        <w:tc>
          <w:tcPr>
            <w:tcW w:type="dxa" w:w="2045"/>
          </w:tcPr>
          <w:p>
            <w:r>
              <w:t>Approval/override/failure evidence</w:t>
            </w:r>
          </w:p>
        </w:tc>
        <w:tc>
          <w:tcPr>
            <w:tcW w:type="dxa" w:w="2045"/>
          </w:tcPr>
          <w:p>
            <w:r>
              <w:t>CPS/Operations Lead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Is the next-phase input frozen?</w:t>
            </w:r>
          </w:p>
        </w:tc>
        <w:tc>
          <w:tcPr>
            <w:tcW w:type="dxa" w:w="2045"/>
          </w:tcPr>
          <w:p>
            <w:r>
              <w:t>Gate package and baseline tag</w:t>
            </w:r>
          </w:p>
        </w:tc>
        <w:tc>
          <w:tcPr>
            <w:tcW w:type="dxa" w:w="2045"/>
          </w:tcPr>
          <w:p>
            <w:r>
              <w:t>Project/System Lead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9. Immediate Next Work Package</w:t>
      </w:r>
    </w:p>
    <w:p>
      <w:pPr>
        <w:pStyle w:val="ListBullet"/>
      </w:pPr>
      <w:r>
        <w:t>Freeze the current Phase 0–3 baseline documents and inventories.</w:t>
      </w:r>
    </w:p>
    <w:p>
      <w:pPr>
        <w:pStyle w:val="ListBullet"/>
      </w:pPr>
      <w:r>
        <w:t>Reconcile Phase-1 physical/logical/runtime/deployment mappings using the latest inventory update.</w:t>
      </w:r>
    </w:p>
    <w:p>
      <w:pPr>
        <w:pStyle w:val="ListBullet"/>
      </w:pPr>
      <w:r>
        <w:t>Map every Phase-3 CPS workflow to its required virtual asset, interface, state and event.</w:t>
      </w:r>
    </w:p>
    <w:p>
      <w:pPr>
        <w:pStyle w:val="ListBullet"/>
      </w:pPr>
      <w:r>
        <w:t>Record missing components as Reconcile / Candidate / Optional rather than silently adding them.</w:t>
      </w:r>
    </w:p>
    <w:p>
      <w:pPr>
        <w:pStyle w:val="ListBullet"/>
      </w:pPr>
      <w:r>
        <w:t>Complete the Phase-3 gate checklist.</w:t>
      </w:r>
    </w:p>
    <w:p>
      <w:pPr>
        <w:pStyle w:val="ListBullet"/>
      </w:pPr>
      <w:r>
        <w:t>Create the Phase-4 Open-Loop Simulation implementation backlog.</w:t>
      </w:r>
    </w:p>
    <w:p>
      <w:pPr>
        <w:pStyle w:val="ListBullet"/>
      </w:pPr>
      <w:r>
        <w:t>Identify the minimum executable vertical slice and its experiment configuration.</w:t>
      </w:r>
    </w:p>
    <w:p>
      <w:pPr>
        <w:pStyle w:val="ListBullet"/>
      </w:pPr>
      <w:r>
        <w:t>Only then begin the corresponding VS Code changes.</w:t>
      </w:r>
    </w:p>
    <w:p>
      <w:pPr>
        <w:pStyle w:val="Heading1"/>
      </w:pPr>
      <w:r>
        <w:t>10. Phase 4 Entry Definition</w:t>
      </w:r>
    </w:p>
    <w:p>
      <w:r>
        <w:t>Phase 4 starts when the Phase-3 baseline is frozen and the minimum virtual/emulated asset set is traceable. The first experiment should be deliberately small: synthetic sensor/environment inputs → edge/cloud processing → Digital Farm Twin state → classical/AI/QAI decision logic → recommendation → KPI/value measurement, with no automated physical actuation.</w:t>
      </w:r>
    </w:p>
    <w:p>
      <w:r>
        <w:t>The first objective is evidence of a reproducible CPS decision pipeline, not a demonstration of the entire QAI ecosystem.</w:t>
      </w:r>
    </w:p>
    <w:p>
      <w:pPr>
        <w:pStyle w:val="Heading1"/>
      </w:pPr>
      <w:r>
        <w:t>11. Evidence and Claim Discipline</w:t>
      </w:r>
    </w:p>
    <w:p>
      <w:pPr>
        <w:pStyle w:val="ListBullet"/>
      </w:pPr>
      <w:r>
        <w:t>Documented — architecture, inventory, workflow or design exists.</w:t>
      </w:r>
    </w:p>
    <w:p>
      <w:pPr>
        <w:pStyle w:val="ListBullet"/>
      </w:pPr>
      <w:r>
        <w:t>Measured — a result has been generated under a defined experiment.</w:t>
      </w:r>
    </w:p>
    <w:p>
      <w:pPr>
        <w:pStyle w:val="ListBullet"/>
      </w:pPr>
      <w:r>
        <w:t>Independently Validated — an appropriate independent validation source confirms the result.</w:t>
      </w:r>
    </w:p>
    <w:p>
      <w:pPr>
        <w:pStyle w:val="ListBullet"/>
      </w:pPr>
      <w:r>
        <w:t>Proposed — an intended future capability or hypothesis.</w:t>
      </w:r>
    </w:p>
    <w:p>
      <w:pPr>
        <w:pStyle w:val="ListBullet"/>
      </w:pPr>
      <w:r>
        <w:t>To Be Validated — technically plausible but not yet demonstrated to the required evidence level.</w:t>
      </w:r>
    </w:p>
    <w:p>
      <w:r>
        <w:t>No phase should convert a Proposed or Research capability into a measured outcome merely because the component exists in the repository.</w:t>
      </w:r>
    </w:p>
    <w:p>
      <w:pPr>
        <w:pStyle w:val="Heading1"/>
      </w:pPr>
      <w:r>
        <w:t>12. Final Realisation Sequence</w:t>
      </w:r>
    </w:p>
    <w:p>
      <w:r>
        <w:t>Phase 0–3 closure → Phase-1 reconciliation → Gate 3 freeze → Phase 4 open-loop → Phase 5 closed-loop → Phase 6 QAI/value → Phase 7 validation/promotion → Phase 8 production Twin → Phase 9 QAI Lab → Phase 10 fabrics/slices → Phase 11 benchmark → Phase 12 commercialisation/post-pilot.</w:t>
      </w:r>
    </w:p>
    <w:p>
      <w:r>
        <w:t>This sequence keeps the pilot implementation disciplined while allowing the wider FAEP/QAI architecture to continue growing in parallel.</w:t>
      </w:r>
    </w:p>
    <w:p>
      <w:pPr>
        <w:jc w:val="center"/>
      </w:pPr>
      <w:r>
        <w:rPr>
          <w:i/>
        </w:rPr>
        <w:t>Working document — Realisation baseline for continued FAEP Digital Farm development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