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General Framework &amp; General Factory</w:t>
        <w:br/>
        <w:t>Post-Pilot Deployment and Bootstrapper Architecture</w:t>
      </w:r>
    </w:p>
    <w:p>
      <w:pPr>
        <w:jc w:val="center"/>
      </w:pPr>
      <w:r>
        <w:rPr>
          <w:i/>
        </w:rPr>
        <w:t>Discussion Summary</w:t>
      </w:r>
    </w:p>
    <w:p>
      <w:pPr>
        <w:pStyle w:val="Heading1"/>
      </w:pPr>
      <w:r>
        <w:t>1. Scope Clarification</w:t>
      </w:r>
    </w:p>
    <w:p>
      <w:r>
        <w:t>The current architectural scope is General Framework and General Factory. The existing Enterprise Bootstrap belongs to a higher Enterprise / Ecosystem layer and should not be absorbed into either component.</w:t>
        <w:br/>
        <w:br/>
        <w:t>The Enterprise Bootstrapper operates above the General Framework and General Factory, while a new General Factory Bootstrapper operates below the Enterprise Bootstrapper and is responsible for composing and instantiating a specific deployment.</w:t>
      </w:r>
    </w:p>
    <w:p>
      <w:pPr>
        <w:pStyle w:val="Heading1"/>
      </w:pPr>
      <w:r>
        <w:t>2. Architectural Hierarchy</w:t>
      </w:r>
    </w:p>
    <w:p>
      <w:r>
        <w:t>ECOSYSTEM / ENTERPRISE LAYER</w:t>
        <w:br/>
        <w:t>Enterprise Bootstrapper</w:t>
        <w:br/>
        <w:t xml:space="preserve">        ↓</w:t>
        <w:br/>
        <w:t>GENERAL ENGINEERING LAYER</w:t>
        <w:br/>
        <w:t>General Framework — architecture / WHAT</w:t>
        <w:br/>
        <w:t xml:space="preserve">        ↓</w:t>
        <w:br/>
        <w:t>General Factory — implementation / HOW</w:t>
        <w:br/>
        <w:t xml:space="preserve">        ↓</w:t>
        <w:br/>
        <w:t>General Factory Bootstrapper</w:t>
        <w:br/>
        <w:t xml:space="preserve">        ↓</w:t>
        <w:br/>
        <w:t>Industry / Client Deployment</w:t>
      </w:r>
    </w:p>
    <w:p>
      <w:pPr>
        <w:pStyle w:val="Heading1"/>
      </w:pPr>
      <w:r>
        <w:t>3. Responsibilities</w:t>
      </w:r>
    </w:p>
    <w:p>
      <w:r>
        <w:t>Enterprise Bootstrapper — enterprise/ecosystem level: creates or configures an enterprise, organization, subsidiary, region or ecosystem.</w:t>
        <w:br/>
        <w:br/>
        <w:t>General Framework — architectural authority: defines reusable architecture, semantics, models, contracts, structures, governance, lifecycle and deployment concepts.</w:t>
        <w:br/>
        <w:br/>
        <w:t>General Factory — implementation authority: implements, instantiates, executes, validates and evidences Framework definitions.</w:t>
        <w:br/>
        <w:br/>
        <w:t>General Factory Bootstrapper — Factory deployment capability: composes selected Framework/Factory assets into a concrete industry/client/problem deployment package.</w:t>
      </w:r>
    </w:p>
    <w:p>
      <w:pPr>
        <w:pStyle w:val="Heading1"/>
      </w:pPr>
      <w:r>
        <w:t>4. Two Main Tasks</w:t>
      </w:r>
    </w:p>
    <w:p>
      <w:r>
        <w:t>Task 1 — Establish the post-pilot structure.</w:t>
        <w:br/>
        <w:t>Create the new folder structures in both General Framework and General Factory. The structure should make post-pilot specialization explicit without prematurely implementing the bootstrapper.</w:t>
        <w:br/>
        <w:br/>
        <w:t>Task 2 — Build the General Factory Bootstrapper.</w:t>
        <w:br/>
        <w:t>After the structure is established, design and implement the bootstrapper as a General Factory capability. The Framework holds its logical architecture, models, contracts and required structure; the Factory contains its executable implementation.</w:t>
      </w:r>
    </w:p>
    <w:p>
      <w:pPr>
        <w:pStyle w:val="Heading1"/>
      </w:pPr>
      <w:r>
        <w:t>5. Proposed General Framework Structure</w:t>
      </w:r>
    </w:p>
    <w:p>
      <w:r>
        <w:t>general_framework/</w:t>
        <w:br/>
        <w:t>├── pilot_assets/</w:t>
        <w:br/>
        <w:t>└── post_pilot_assets/</w:t>
        <w:br/>
        <w:t xml:space="preserve">    ├── bootstrapper/</w:t>
        <w:br/>
        <w:t xml:space="preserve">    │   ├── architecture/</w:t>
        <w:br/>
        <w:t xml:space="preserve">    │   ├── models/</w:t>
        <w:br/>
        <w:t xml:space="preserve">    │   ├── interfaces/</w:t>
        <w:br/>
        <w:t xml:space="preserve">    │   ├── workflows/</w:t>
        <w:br/>
        <w:t xml:space="preserve">    │   ├── configuration/</w:t>
        <w:br/>
        <w:t xml:space="preserve">    │   ├── deployment_profiles/</w:t>
        <w:br/>
        <w:t xml:space="preserve">    │   ├── package_structure/</w:t>
        <w:br/>
        <w:t xml:space="preserve">    │   ├── registries/</w:t>
        <w:br/>
        <w:t xml:space="preserve">    │   └── README.md</w:t>
        <w:br/>
        <w:t xml:space="preserve">    ├── deployment/</w:t>
        <w:br/>
        <w:t xml:space="preserve">    │   ├── industry/</w:t>
        <w:br/>
        <w:t xml:space="preserve">    │   ├── client/</w:t>
        <w:br/>
        <w:t xml:space="preserve">    │   ├── problem/</w:t>
        <w:br/>
        <w:t xml:space="preserve">    │   ├── greenfield/</w:t>
        <w:br/>
        <w:t xml:space="preserve">    │   └── brownfield/</w:t>
        <w:br/>
        <w:t xml:space="preserve">    ├── industry/</w:t>
        <w:br/>
        <w:t xml:space="preserve">    ├── client/</w:t>
        <w:br/>
        <w:t xml:space="preserve">    ├── problem_domains/</w:t>
        <w:br/>
        <w:t xml:space="preserve">    ├── deployment_profiles/</w:t>
        <w:br/>
        <w:t xml:space="preserve">    └── packages/</w:t>
      </w:r>
    </w:p>
    <w:p>
      <w:pPr>
        <w:pStyle w:val="Heading1"/>
      </w:pPr>
      <w:r>
        <w:t>6. Proposed General Factory Structure</w:t>
      </w:r>
    </w:p>
    <w:p>
      <w:r>
        <w:t>general_factory/</w:t>
        <w:br/>
        <w:t>├── pilot_assets/</w:t>
        <w:br/>
        <w:t>└── post_pilot_assets/</w:t>
        <w:br/>
        <w:t xml:space="preserve">    ├── bootstrapper/</w:t>
        <w:br/>
        <w:t xml:space="preserve">    │   ├── engine/</w:t>
        <w:br/>
        <w:t xml:space="preserve">    │   ├── configuration/</w:t>
        <w:br/>
        <w:t xml:space="preserve">    │   ├── profiles/</w:t>
        <w:br/>
        <w:t xml:space="preserve">    │   ├── resolvers/</w:t>
        <w:br/>
        <w:t xml:space="preserve">    │   ├── packages/</w:t>
        <w:br/>
        <w:t xml:space="preserve">    │   ├── templates/</w:t>
        <w:br/>
        <w:t xml:space="preserve">    │   ├── generators/</w:t>
        <w:br/>
        <w:t xml:space="preserve">    │   ├── validation/</w:t>
        <w:br/>
        <w:t xml:space="preserve">    │   ├── deployment/</w:t>
        <w:br/>
        <w:t xml:space="preserve">    │   └── README.md</w:t>
        <w:br/>
        <w:t xml:space="preserve">    ├── deployment/</w:t>
        <w:br/>
        <w:t xml:space="preserve">    │   ├── industry/</w:t>
        <w:br/>
        <w:t xml:space="preserve">    │   ├── client/</w:t>
        <w:br/>
        <w:t xml:space="preserve">    │   ├── problem/</w:t>
        <w:br/>
        <w:t xml:space="preserve">    │   ├── greenfield/</w:t>
        <w:br/>
        <w:t xml:space="preserve">    │   └── brownfield/</w:t>
        <w:br/>
        <w:t xml:space="preserve">    ├── industry/</w:t>
        <w:br/>
        <w:t xml:space="preserve">    ├── client/</w:t>
        <w:br/>
        <w:t xml:space="preserve">    ├── problem_domains/</w:t>
        <w:br/>
        <w:t xml:space="preserve">    ├── deployment_profiles/</w:t>
        <w:br/>
        <w:t xml:space="preserve">    ├── packages/</w:t>
        <w:br/>
        <w:t xml:space="preserve">    └── generated_deployments/</w:t>
      </w:r>
    </w:p>
    <w:p>
      <w:pPr>
        <w:pStyle w:val="Heading1"/>
      </w:pPr>
      <w:r>
        <w:t>7. Greenfield, Brownfield and Problem-Specific Deployment</w:t>
      </w:r>
    </w:p>
    <w:p>
      <w:r>
        <w:t>The post-pilot structure explicitly recognizes specialization by industry, client, specific problem and deployment context.</w:t>
        <w:br/>
        <w:br/>
        <w:t>• Industry — e.g. Energy, Agriculture, Manufacturing.</w:t>
        <w:br/>
        <w:t>• Client — client-specific assets, policies, metadata, workflows and constraints.</w:t>
        <w:br/>
        <w:t>• Problem — a specific business, engineering or operational problem.</w:t>
        <w:br/>
        <w:t>• Greenfield — a new deployment where the target environment is established from the required package.</w:t>
        <w:br/>
        <w:t>• Brownfield — an existing environment where the deployment integrates with existing assets, systems and infrastructure.</w:t>
      </w:r>
    </w:p>
    <w:p>
      <w:pPr>
        <w:pStyle w:val="Heading1"/>
      </w:pPr>
      <w:r>
        <w:t>8. General Factory Bootstrapper Concept</w:t>
      </w:r>
    </w:p>
    <w:p>
      <w:r>
        <w:t>Deployment Request</w:t>
        <w:br/>
        <w:t xml:space="preserve">       ↓</w:t>
        <w:br/>
        <w:t>Bootstrap Configuration</w:t>
        <w:br/>
        <w:t xml:space="preserve">       ↓</w:t>
        <w:br/>
        <w:t>Profile Resolution</w:t>
        <w:br/>
        <w:t xml:space="preserve">       ↓</w:t>
        <w:br/>
        <w:t>Framework Registry</w:t>
        <w:br/>
        <w:t xml:space="preserve">       ↓</w:t>
        <w:br/>
        <w:t>Factory Registry</w:t>
        <w:br/>
        <w:t xml:space="preserve">       ↓</w:t>
        <w:br/>
        <w:t>Package Resolution</w:t>
        <w:br/>
        <w:t xml:space="preserve">       ↓</w:t>
        <w:br/>
        <w:t>Template / Asset Resolution</w:t>
        <w:br/>
        <w:t xml:space="preserve">       ↓</w:t>
        <w:br/>
        <w:t>Generate Deployment Structure</w:t>
        <w:br/>
        <w:t xml:space="preserve">       ↓</w:t>
        <w:br/>
        <w:t>Configure</w:t>
        <w:br/>
        <w:t xml:space="preserve">       ↓</w:t>
        <w:br/>
        <w:t>Validate</w:t>
        <w:br/>
        <w:t xml:space="preserve">       ↓</w:t>
        <w:br/>
        <w:t>Ready for Deployment</w:t>
      </w:r>
    </w:p>
    <w:p>
      <w:pPr>
        <w:pStyle w:val="Heading1"/>
      </w:pPr>
      <w:r>
        <w:t>9. Post-Pilot Deployment Progression</w:t>
      </w:r>
    </w:p>
    <w:p>
      <w:r>
        <w:t>Validated Pilot</w:t>
        <w:br/>
        <w:t xml:space="preserve">      ↓</w:t>
        <w:br/>
        <w:t>Post-Pilot Assessment</w:t>
        <w:br/>
        <w:t xml:space="preserve">      ↓</w:t>
        <w:br/>
        <w:t>Select Industry</w:t>
        <w:br/>
        <w:t xml:space="preserve">      ↓</w:t>
        <w:br/>
        <w:t>Select Client</w:t>
        <w:br/>
        <w:t xml:space="preserve">      ↓</w:t>
        <w:br/>
        <w:t>Define Specific Problem</w:t>
        <w:br/>
        <w:t xml:space="preserve">      ↓</w:t>
        <w:br/>
        <w:t>Select Greenfield / Brownfield</w:t>
        <w:br/>
        <w:t xml:space="preserve">      ↓</w:t>
        <w:br/>
        <w:t>Select Core + Add-ons</w:t>
        <w:br/>
        <w:t xml:space="preserve">      ↓</w:t>
        <w:br/>
        <w:t>Select Industry Fabric</w:t>
        <w:br/>
        <w:t xml:space="preserve">      ↓</w:t>
        <w:br/>
        <w:t>Select Client Tailoring</w:t>
        <w:br/>
        <w:t xml:space="preserve">      ↓</w:t>
        <w:br/>
        <w:t>Select Realization</w:t>
        <w:br/>
        <w:t xml:space="preserve">      ↓</w:t>
        <w:br/>
        <w:t>Deployment Package</w:t>
        <w:br/>
        <w:t xml:space="preserve">      ↓</w:t>
        <w:br/>
        <w:t>General Factory Bootstrapper</w:t>
        <w:br/>
        <w:t xml:space="preserve">      ↓</w:t>
        <w:br/>
        <w:t>Generated Client Platform</w:t>
        <w:br/>
        <w:t xml:space="preserve">      ↓</w:t>
        <w:br/>
        <w:t>Validation</w:t>
        <w:br/>
        <w:t xml:space="preserve">      ↓</w:t>
        <w:br/>
        <w:t>Operational Deployment</w:t>
      </w:r>
    </w:p>
    <w:p>
      <w:pPr>
        <w:pStyle w:val="Heading1"/>
      </w:pPr>
      <w:r>
        <w:t>10. Core Architectural Principle</w:t>
      </w:r>
    </w:p>
    <w:p>
      <w:r>
        <w:t>General Framework/Factory are the reusable engineering base; the General Factory Bootstrapper composes that base into a specific industry + client + problem + deployment-mode realization.</w:t>
      </w:r>
    </w:p>
    <w:p>
      <w:pPr>
        <w:pStyle w:val="Heading1"/>
      </w:pPr>
      <w:r>
        <w:t>11. Relationship to Existing Enterprise Bootstrap</w:t>
      </w:r>
    </w:p>
    <w:p>
      <w:r>
        <w:t>The existing Enterprise Bootstrap describes an adaptive enterprise-level bootstrap process based on Enterprise Blueprints, Deployment Profiles and an Enterprise Operating Platform. For the current work, this remains an upstream reference layer.</w:t>
        <w:br/>
        <w:br/>
        <w:t>The General Factory Bootstrapper should not replace or duplicate the Enterprise Bootstrapper. It provides the lower-level engineering deployment capability that the enterprise layer can invoke or compose.</w:t>
      </w:r>
    </w:p>
    <w:p>
      <w:pPr>
        <w:pStyle w:val="Heading1"/>
      </w:pPr>
      <w:r>
        <w:t>12. Recommended Next Sequence</w:t>
      </w:r>
    </w:p>
    <w:p>
      <w:r>
        <w:t>1. Create the Framework and Factory post-pilot folder structures.</w:t>
        <w:br/>
        <w:t>2. Add concise README placeholders establishing the responsibility of each new area.</w:t>
        <w:br/>
        <w:t>3. Review the existing bootstrapper repositories and samples as reference material.</w:t>
        <w:br/>
        <w:t>4. Define the General Factory Bootstrapper architecture in the General Framework.</w:t>
        <w:br/>
        <w:t>5. Implement the General Factory Bootstrapper in the General Factory.</w:t>
        <w:br/>
        <w:t>6. Test it against an industry/client deployment scenario, including the greenfield/brownfield distinction.</w:t>
      </w:r>
    </w:p>
    <w:p>
      <w:pPr>
        <w:jc w:val="center"/>
      </w:pPr>
      <w:r>
        <w:rPr>
          <w:i/>
        </w:rPr>
        <w:t>Generalize the architecture → specialize the industry → tailor the client → select the realization → bootstrap the deployment.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