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QAI Micro-Frontend Reference Architecture</w:t>
        <w:br/>
        <w:t>and Implementation Plan</w:t>
      </w:r>
    </w:p>
    <w:p>
      <w:pPr>
        <w:jc w:val="center"/>
      </w:pPr>
      <w:r>
        <w:rPr>
          <w:i/>
          <w:sz w:val="24"/>
        </w:rPr>
        <w:t>General Factory Reference Implementation</w:t>
      </w:r>
    </w:p>
    <w:p>
      <w:pPr>
        <w:jc w:val="center"/>
      </w:pPr>
      <w:r>
        <w:rPr>
          <w:b/>
        </w:rPr>
        <w:t>Reference: holdco/general_factory/reference_implementations/micro_frontends</w:t>
      </w:r>
    </w:p>
    <w:p>
      <w:r>
        <w:t>Purpose: capture the agreed architecture and implementation direction for developing the QAI Platform micro-frontends as concrete General Factory reference implementations.</w:t>
      </w:r>
    </w:p>
    <w:p>
      <w:pPr>
        <w:pStyle w:val="Heading1"/>
      </w:pPr>
      <w:r>
        <w:t>1. Architectural Position</w:t>
      </w:r>
    </w:p>
    <w:p>
      <w:r>
        <w:t>The micro-frontend implementation should not be designed independently from the existing QAI General Factory reference-implementation catalogue. The micro-frontends are another concrete reference implementation within the established Factory pattern.</w:t>
      </w:r>
    </w:p>
    <w:p>
      <w:r>
        <w:t>The repository already provides a related separation:</w:t>
      </w:r>
    </w:p>
    <w:p>
      <w:pPr>
        <w:pStyle w:val="ListBullet"/>
      </w:pPr>
      <w:r>
        <w:t>micro_frontends/ — presentation and user-facing views</w:t>
      </w:r>
    </w:p>
    <w:p>
      <w:pPr>
        <w:pStyle w:val="ListBullet"/>
      </w:pPr>
      <w:r>
        <w:t>workflow/ — logical workflow, workflow engine and workflow patterns</w:t>
      </w:r>
    </w:p>
    <w:p>
      <w:pPr>
        <w:pStyle w:val="ListBullet"/>
      </w:pPr>
      <w:r>
        <w:t>workflow_designer/ — graphical workflow-design technologies such as React Flow, Eclipse GLSP and BPMN</w:t>
      </w:r>
    </w:p>
    <w:p>
      <w:pPr>
        <w:pStyle w:val="ListBullet"/>
      </w:pPr>
      <w:r>
        <w:t>qai_lab/ — experiment/notebook execution references</w:t>
      </w:r>
    </w:p>
    <w:p>
      <w:pPr>
        <w:pStyle w:val="ListBullet"/>
      </w:pPr>
      <w:r>
        <w:t>resource_backends/ — resource and backend implementation references</w:t>
      </w:r>
    </w:p>
    <w:p>
      <w:pPr>
        <w:pStyle w:val="ListBullet"/>
      </w:pPr>
      <w:r>
        <w:t>microsoft_fabric/ — Fabric-specific implementation reference</w:t>
      </w:r>
    </w:p>
    <w:p>
      <w:pPr>
        <w:pStyle w:val="Heading1"/>
      </w:pPr>
      <w:r>
        <w:t>2. Existing Micro-Frontend Reference Structure</w:t>
      </w:r>
    </w:p>
    <w:p>
      <w:r>
        <w:t>The existing micro-frontends area is organized around three candidate views: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Reference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Initial Status</w:t>
            </w:r>
          </w:p>
        </w:tc>
      </w:tr>
      <w:tr>
        <w:tc>
          <w:tcPr>
            <w:tcW w:type="dxa" w:w="3312"/>
          </w:tcPr>
          <w:p>
            <w:r>
              <w:t>Client Views</w:t>
            </w:r>
          </w:p>
        </w:tc>
        <w:tc>
          <w:tcPr>
            <w:tcW w:type="dxa" w:w="3312"/>
          </w:tcPr>
          <w:p>
            <w:r>
              <w:t>Client-specific PaaS/SaaS presentation and consumption</w:t>
            </w:r>
          </w:p>
        </w:tc>
        <w:tc>
          <w:tcPr>
            <w:tcW w:type="dxa" w:w="3312"/>
          </w:tcPr>
          <w:p>
            <w:r>
              <w:t>Candidate</w:t>
            </w:r>
          </w:p>
        </w:tc>
      </w:tr>
      <w:tr>
        <w:tc>
          <w:tcPr>
            <w:tcW w:type="dxa" w:w="3312"/>
          </w:tcPr>
          <w:p>
            <w:r>
              <w:t>Workflow Views</w:t>
            </w:r>
          </w:p>
        </w:tc>
        <w:tc>
          <w:tcPr>
            <w:tcW w:type="dxa" w:w="3312"/>
          </w:tcPr>
          <w:p>
            <w:r>
              <w:t>Workflow visualization and interaction</w:t>
            </w:r>
          </w:p>
        </w:tc>
        <w:tc>
          <w:tcPr>
            <w:tcW w:type="dxa" w:w="3312"/>
          </w:tcPr>
          <w:p>
            <w:r>
              <w:t>Candidate</w:t>
            </w:r>
          </w:p>
        </w:tc>
      </w:tr>
      <w:tr>
        <w:tc>
          <w:tcPr>
            <w:tcW w:type="dxa" w:w="3312"/>
          </w:tcPr>
          <w:p>
            <w:r>
              <w:t>Resource Views</w:t>
            </w:r>
          </w:p>
        </w:tc>
        <w:tc>
          <w:tcPr>
            <w:tcW w:type="dxa" w:w="3312"/>
          </w:tcPr>
          <w:p>
            <w:r>
              <w:t>Resource/backend/execution-environment views</w:t>
            </w:r>
          </w:p>
        </w:tc>
        <w:tc>
          <w:tcPr>
            <w:tcW w:type="dxa" w:w="3312"/>
          </w:tcPr>
          <w:p>
            <w:r>
              <w:t>Candidate</w:t>
            </w:r>
          </w:p>
        </w:tc>
      </w:tr>
    </w:tbl>
    <w:p>
      <w:pPr>
        <w:pStyle w:val="Heading1"/>
      </w:pPr>
      <w:r>
        <w:t>3. Relationship Between the Three Architectural Areas</w:t>
      </w:r>
    </w:p>
    <w:p>
      <w:r>
        <w:t>The implementation should preserve the following separation:</w:t>
      </w:r>
    </w:p>
    <w:p>
      <w:r>
        <w:t>QAI Platform → Presentation micro-frontends → Workflow / Resource / Client Views → Logical contracts → General Factory → Resource Fabric → Runtime</w:t>
      </w:r>
    </w:p>
    <w:p>
      <w:pPr>
        <w:pStyle w:val="Heading1"/>
      </w:pPr>
      <w:r>
        <w:t>4. Micro-Frontend vs MVC vs AJAX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Concept</w:t>
            </w:r>
          </w:p>
        </w:tc>
        <w:tc>
          <w:tcPr>
            <w:tcW w:type="dxa" w:w="4968"/>
          </w:tcPr>
          <w:p>
            <w:r>
              <w:t>Role in QAI Platform</w:t>
            </w:r>
          </w:p>
        </w:tc>
      </w:tr>
      <w:tr>
        <w:tc>
          <w:tcPr>
            <w:tcW w:type="dxa" w:w="4968"/>
          </w:tcPr>
          <w:p>
            <w:r>
              <w:t>Micro-frontend</w:t>
            </w:r>
          </w:p>
        </w:tc>
        <w:tc>
          <w:tcPr>
            <w:tcW w:type="dxa" w:w="4968"/>
          </w:tcPr>
          <w:p>
            <w:r>
              <w:t>Architectural decomposition of the frontend into independently developed/owned capabilities.</w:t>
            </w:r>
          </w:p>
        </w:tc>
      </w:tr>
      <w:tr>
        <w:tc>
          <w:tcPr>
            <w:tcW w:type="dxa" w:w="4968"/>
          </w:tcPr>
          <w:p>
            <w:r>
              <w:t>Shell</w:t>
            </w:r>
          </w:p>
        </w:tc>
        <w:tc>
          <w:tcPr>
            <w:tcW w:type="dxa" w:w="4968"/>
          </w:tcPr>
          <w:p>
            <w:r>
              <w:t>Composition, navigation, identity/context, shared UI concerns and integration.</w:t>
            </w:r>
          </w:p>
        </w:tc>
      </w:tr>
      <w:tr>
        <w:tc>
          <w:tcPr>
            <w:tcW w:type="dxa" w:w="4968"/>
          </w:tcPr>
          <w:p>
            <w:r>
              <w:t>Workflow MFE</w:t>
            </w:r>
          </w:p>
        </w:tc>
        <w:tc>
          <w:tcPr>
            <w:tcW w:type="dxa" w:w="4968"/>
          </w:tcPr>
          <w:p>
            <w:r>
              <w:t>Authoring and visualization of logical workflows.</w:t>
            </w:r>
          </w:p>
        </w:tc>
      </w:tr>
      <w:tr>
        <w:tc>
          <w:tcPr>
            <w:tcW w:type="dxa" w:w="4968"/>
          </w:tcPr>
          <w:p>
            <w:r>
              <w:t>MVC/MVVM</w:t>
            </w:r>
          </w:p>
        </w:tc>
        <w:tc>
          <w:tcPr>
            <w:tcW w:type="dxa" w:w="4968"/>
          </w:tcPr>
          <w:p>
            <w:r>
              <w:t>Possible internal application design pattern inside an individual micro-frontend.</w:t>
            </w:r>
          </w:p>
        </w:tc>
      </w:tr>
      <w:tr>
        <w:tc>
          <w:tcPr>
            <w:tcW w:type="dxa" w:w="4968"/>
          </w:tcPr>
          <w:p>
            <w:r>
              <w:t>HTTP / REST / fetch / AJAX</w:t>
            </w:r>
          </w:p>
        </w:tc>
        <w:tc>
          <w:tcPr>
            <w:tcW w:type="dxa" w:w="4968"/>
          </w:tcPr>
          <w:p>
            <w:r>
              <w:t>Communication mechanisms; they do not define the micro-frontend architecture.</w:t>
            </w:r>
          </w:p>
        </w:tc>
      </w:tr>
      <w:tr>
        <w:tc>
          <w:tcPr>
            <w:tcW w:type="dxa" w:w="4968"/>
          </w:tcPr>
          <w:p>
            <w:r>
              <w:t>Custom/browser events</w:t>
            </w:r>
          </w:p>
        </w:tc>
        <w:tc>
          <w:tcPr>
            <w:tcW w:type="dxa" w:w="4968"/>
          </w:tcPr>
          <w:p>
            <w:r>
              <w:t>Possible communication mechanism between frontend components or micro-frontends.</w:t>
            </w:r>
          </w:p>
        </w:tc>
      </w:tr>
      <w:tr>
        <w:tc>
          <w:tcPr>
            <w:tcW w:type="dxa" w:w="4968"/>
          </w:tcPr>
          <w:p>
            <w:r>
              <w:t>Logical Workflow model</w:t>
            </w:r>
          </w:p>
        </w:tc>
        <w:tc>
          <w:tcPr>
            <w:tcW w:type="dxa" w:w="4968"/>
          </w:tcPr>
          <w:p>
            <w:r>
              <w:t>Contract connecting authoring/visualization with the platform execution path.</w:t>
            </w:r>
          </w:p>
        </w:tc>
      </w:tr>
      <w:tr>
        <w:tc>
          <w:tcPr>
            <w:tcW w:type="dxa" w:w="4968"/>
          </w:tcPr>
          <w:p>
            <w:r>
              <w:t>General Factory</w:t>
            </w:r>
          </w:p>
        </w:tc>
        <w:tc>
          <w:tcPr>
            <w:tcW w:type="dxa" w:w="4968"/>
          </w:tcPr>
          <w:p>
            <w:r>
              <w:t>Execution authority and integration boundary.</w:t>
            </w:r>
          </w:p>
        </w:tc>
      </w:tr>
    </w:tbl>
    <w:p>
      <w:r>
        <w:t>Key principle: AJAX or fetch may be used by a micro-frontend, and MVC/MVVM may be used inside it, but neither is equivalent to the micro-frontend architecture.</w:t>
      </w:r>
    </w:p>
    <w:p>
      <w:pPr>
        <w:pStyle w:val="Heading1"/>
      </w:pPr>
      <w:r>
        <w:t>5. Workflow View as the First Working Slice</w:t>
      </w:r>
    </w:p>
    <w:p>
      <w:r>
        <w:t>The first implementation should focus on micro_frontends/workflow_views rather than building all three micro-frontends simultaneously.</w:t>
      </w:r>
    </w:p>
    <w:p>
      <w:r>
        <w:t>Initial logical workflow view:</w:t>
      </w:r>
    </w:p>
    <w:p>
      <w:r>
        <w:t>Input → Process → AI/QAI → Result → Evidence</w:t>
      </w:r>
    </w:p>
    <w:p>
      <w:r>
        <w:t>The same view should subsequently support a Closed Loop topology:</w:t>
      </w:r>
    </w:p>
    <w:p>
      <w:r>
        <w:t>Sense → Process → Decide → Act/Recommend → Observe → Evaluate → Feedback → Reconfigure → Repeat</w:t>
      </w:r>
    </w:p>
    <w:p>
      <w:pPr>
        <w:pStyle w:val="Heading1"/>
      </w:pPr>
      <w:r>
        <w:t>6. Workflow View and Execution Boundary</w:t>
      </w:r>
    </w:p>
    <w:p>
      <w:r>
        <w:t>The Workflow View must remain an authoring and visualization surface. It must not become the workflow engine or execution authority.</w:t>
      </w:r>
    </w:p>
    <w:p>
      <w:r>
        <w:t>The intended path is:</w:t>
      </w:r>
    </w:p>
    <w:p>
      <w:pPr>
        <w:pStyle w:val="ListNumber"/>
      </w:pPr>
      <w:r>
        <w:t>Workflow View</w:t>
      </w:r>
    </w:p>
    <w:p>
      <w:pPr>
        <w:pStyle w:val="ListNumber"/>
      </w:pPr>
      <w:r>
        <w:t>Logical Workflow</w:t>
      </w:r>
    </w:p>
    <w:p>
      <w:pPr>
        <w:pStyle w:val="ListNumber"/>
      </w:pPr>
      <w:r>
        <w:t>QAI Control Plane / platform boundary</w:t>
      </w:r>
    </w:p>
    <w:p>
      <w:pPr>
        <w:pStyle w:val="ListNumber"/>
      </w:pPr>
      <w:r>
        <w:t>General Factory</w:t>
      </w:r>
    </w:p>
    <w:p>
      <w:pPr>
        <w:pStyle w:val="ListNumber"/>
      </w:pPr>
      <w:r>
        <w:t>Verify</w:t>
      </w:r>
    </w:p>
    <w:p>
      <w:pPr>
        <w:pStyle w:val="ListNumber"/>
      </w:pPr>
      <w:r>
        <w:t>Validate</w:t>
      </w:r>
    </w:p>
    <w:p>
      <w:pPr>
        <w:pStyle w:val="ListNumber"/>
      </w:pPr>
      <w:r>
        <w:t>Compile</w:t>
      </w:r>
    </w:p>
    <w:p>
      <w:pPr>
        <w:pStyle w:val="ListNumber"/>
      </w:pPr>
      <w:r>
        <w:t>Resolve resources</w:t>
      </w:r>
    </w:p>
    <w:p>
      <w:pPr>
        <w:pStyle w:val="ListNumber"/>
      </w:pPr>
      <w:r>
        <w:t>Schedule</w:t>
      </w:r>
    </w:p>
    <w:p>
      <w:pPr>
        <w:pStyle w:val="ListNumber"/>
      </w:pPr>
      <w:r>
        <w:t>Runtime / backend execution</w:t>
      </w:r>
    </w:p>
    <w:p>
      <w:pPr>
        <w:pStyle w:val="ListNumber"/>
      </w:pPr>
      <w:r>
        <w:t>Results</w:t>
      </w:r>
    </w:p>
    <w:p>
      <w:pPr>
        <w:pStyle w:val="ListNumber"/>
      </w:pPr>
      <w:r>
        <w:t>Evidence / provenance</w:t>
      </w:r>
    </w:p>
    <w:p>
      <w:pPr>
        <w:pStyle w:val="Heading1"/>
      </w:pPr>
      <w:r>
        <w:t>7. React Flow, GLSP and BPMN</w:t>
      </w:r>
    </w:p>
    <w:p>
      <w:r>
        <w:t>The repository already contains workflow-designer references for React Flow, Eclipse GLSP and BPMN. These should be treated as implementation technologies rather than as the definition of the QAI logical workflow architecture.</w:t>
      </w:r>
    </w:p>
    <w:p>
      <w:r>
        <w:t>The intended relationship is:</w:t>
      </w:r>
    </w:p>
    <w:p>
      <w:r>
        <w:t>Logical Workflow ↔ graphical implementation (React Flow / GLSP / BPMN) → Logical Workflow → Factory</w:t>
      </w:r>
    </w:p>
    <w:p>
      <w:r>
        <w:t>React Flow can therefore be the first visual-editor implementation while keeping the logical workflow contract technology-neutral.</w:t>
      </w:r>
    </w:p>
    <w:p>
      <w:pPr>
        <w:pStyle w:val="Heading1"/>
      </w:pPr>
      <w:r>
        <w:t>8. Resource Views</w:t>
      </w:r>
    </w:p>
    <w:p>
      <w:r>
        <w:t>Resource Views should expose logical resource capabilities without making the frontend the resource execution authority.</w:t>
      </w:r>
    </w:p>
    <w:p>
      <w:r>
        <w:t>Example resource classes: CPU, GPU, HPC, Virtual QPU, simulator, emulator, AI model, external service and other approved resources.</w:t>
      </w:r>
    </w:p>
    <w:p>
      <w:r>
        <w:t>The resolution path is:</w:t>
      </w:r>
    </w:p>
    <w:p>
      <w:r>
        <w:t>Workflow → Logical Requirement → Resource View → Environment Definition → General Factory → Resource Fabric → Concrete Resource</w:t>
      </w:r>
    </w:p>
    <w:p>
      <w:pPr>
        <w:pStyle w:val="Heading1"/>
      </w:pPr>
      <w:r>
        <w:t>9. Client Views</w:t>
      </w:r>
    </w:p>
    <w:p>
      <w:r>
        <w:t>Client Views represent the higher-abstraction SaaS/PaaS consumption surface. They should hide engineering-level resource and backend details.</w:t>
      </w:r>
    </w:p>
    <w:p>
      <w:r>
        <w:t>Client interaction model:</w:t>
      </w:r>
    </w:p>
    <w:p>
      <w:r>
        <w:t>Select Product → Select Use Case → Enter Business Parameters → Run → Results / Evidence</w:t>
      </w:r>
    </w:p>
    <w:p>
      <w:pPr>
        <w:pStyle w:val="Heading1"/>
      </w:pPr>
      <w:r>
        <w:t>10. Relationship to Existing Reference Implementations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Reference Area</w:t>
            </w:r>
          </w:p>
        </w:tc>
        <w:tc>
          <w:tcPr>
            <w:tcW w:type="dxa" w:w="3312"/>
          </w:tcPr>
          <w:p>
            <w:r>
              <w:t>Micro-Frontend Relationship</w:t>
            </w:r>
          </w:p>
        </w:tc>
        <w:tc>
          <w:tcPr>
            <w:tcW w:type="dxa" w:w="3312"/>
          </w:tcPr>
          <w:p>
            <w:r>
              <w:t>Boundary</w:t>
            </w:r>
          </w:p>
        </w:tc>
      </w:tr>
      <w:tr>
        <w:tc>
          <w:tcPr>
            <w:tcW w:type="dxa" w:w="3312"/>
          </w:tcPr>
          <w:p>
            <w:r>
              <w:t>workflow</w:t>
            </w:r>
          </w:p>
        </w:tc>
        <w:tc>
          <w:tcPr>
            <w:tcW w:type="dxa" w:w="3312"/>
          </w:tcPr>
          <w:p>
            <w:r>
              <w:t>Provides logical workflow and execution capabilities</w:t>
            </w:r>
          </w:p>
        </w:tc>
        <w:tc>
          <w:tcPr>
            <w:tcW w:type="dxa" w:w="3312"/>
          </w:tcPr>
          <w:p>
            <w:r>
              <w:t>Frontend authors; workflow engine executes</w:t>
            </w:r>
          </w:p>
        </w:tc>
      </w:tr>
      <w:tr>
        <w:tc>
          <w:tcPr>
            <w:tcW w:type="dxa" w:w="3312"/>
          </w:tcPr>
          <w:p>
            <w:r>
              <w:t>workflow_designer</w:t>
            </w:r>
          </w:p>
        </w:tc>
        <w:tc>
          <w:tcPr>
            <w:tcW w:type="dxa" w:w="3312"/>
          </w:tcPr>
          <w:p>
            <w:r>
              <w:t>Provides graphical editor technologies</w:t>
            </w:r>
          </w:p>
        </w:tc>
        <w:tc>
          <w:tcPr>
            <w:tcW w:type="dxa" w:w="3312"/>
          </w:tcPr>
          <w:p>
            <w:r>
              <w:t>Editor technology, not logical architecture</w:t>
            </w:r>
          </w:p>
        </w:tc>
      </w:tr>
      <w:tr>
        <w:tc>
          <w:tcPr>
            <w:tcW w:type="dxa" w:w="3312"/>
          </w:tcPr>
          <w:p>
            <w:r>
              <w:t>qai_lab</w:t>
            </w:r>
          </w:p>
        </w:tc>
        <w:tc>
          <w:tcPr>
            <w:tcW w:type="dxa" w:w="3312"/>
          </w:tcPr>
          <w:p>
            <w:r>
              <w:t>Can provide experiment execution behind workflow nodes</w:t>
            </w:r>
          </w:p>
        </w:tc>
        <w:tc>
          <w:tcPr>
            <w:tcW w:type="dxa" w:w="3312"/>
          </w:tcPr>
          <w:p>
            <w:r>
              <w:t>Factory resolves experiment implementation</w:t>
            </w:r>
          </w:p>
        </w:tc>
      </w:tr>
      <w:tr>
        <w:tc>
          <w:tcPr>
            <w:tcW w:type="dxa" w:w="3312"/>
          </w:tcPr>
          <w:p>
            <w:r>
              <w:t>resource_backends</w:t>
            </w:r>
          </w:p>
        </w:tc>
        <w:tc>
          <w:tcPr>
            <w:tcW w:type="dxa" w:w="3312"/>
          </w:tcPr>
          <w:p>
            <w:r>
              <w:t>Provides concrete resource/backend implementations</w:t>
            </w:r>
          </w:p>
        </w:tc>
        <w:tc>
          <w:tcPr>
            <w:tcW w:type="dxa" w:w="3312"/>
          </w:tcPr>
          <w:p>
            <w:r>
              <w:t>Resource Fabric resolves resources</w:t>
            </w:r>
          </w:p>
        </w:tc>
      </w:tr>
      <w:tr>
        <w:tc>
          <w:tcPr>
            <w:tcW w:type="dxa" w:w="3312"/>
          </w:tcPr>
          <w:p>
            <w:r>
              <w:t>microsoft_fabric</w:t>
            </w:r>
          </w:p>
        </w:tc>
        <w:tc>
          <w:tcPr>
            <w:tcW w:type="dxa" w:w="3312"/>
          </w:tcPr>
          <w:p>
            <w:r>
              <w:t>Provides a technology-specific data/orchestration implementation</w:t>
            </w:r>
          </w:p>
        </w:tc>
        <w:tc>
          <w:tcPr>
            <w:tcW w:type="dxa" w:w="3312"/>
          </w:tcPr>
          <w:p>
            <w:r>
              <w:t>Factory/connector hides provider-specific details</w:t>
            </w:r>
          </w:p>
        </w:tc>
      </w:tr>
    </w:tbl>
    <w:p>
      <w:pPr>
        <w:pStyle w:val="Heading1"/>
      </w:pPr>
      <w:r>
        <w:t>11. Recommended Implementation Sequence</w:t>
      </w:r>
    </w:p>
    <w:p>
      <w:pPr>
        <w:pStyle w:val="ListNumber"/>
      </w:pPr>
      <w:r>
        <w:t>Use the existing micro_frontends/workflow_views reference structure.</w:t>
      </w:r>
    </w:p>
    <w:p>
      <w:pPr>
        <w:pStyle w:val="ListNumber"/>
      </w:pPr>
      <w:r>
        <w:t>Define the Workflow View contract and responsibilities.</w:t>
      </w:r>
    </w:p>
    <w:p>
      <w:pPr>
        <w:pStyle w:val="ListNumber"/>
      </w:pPr>
      <w:r>
        <w:t>Define the technology-neutral Logical Workflow JSON/model.</w:t>
      </w:r>
    </w:p>
    <w:p>
      <w:pPr>
        <w:pStyle w:val="ListNumber"/>
      </w:pPr>
      <w:r>
        <w:t>Implement the first Workflow View UI.</w:t>
      </w:r>
    </w:p>
    <w:p>
      <w:pPr>
        <w:pStyle w:val="ListNumber"/>
      </w:pPr>
      <w:r>
        <w:t>Use React Flow as the first graphical workflow-editor reference.</w:t>
      </w:r>
    </w:p>
    <w:p>
      <w:pPr>
        <w:pStyle w:val="ListNumber"/>
      </w:pPr>
      <w:r>
        <w:t>Connect the visual editor to the Logical Workflow representation.</w:t>
      </w:r>
    </w:p>
    <w:p>
      <w:pPr>
        <w:pStyle w:val="ListNumber"/>
      </w:pPr>
      <w:r>
        <w:t>Connect the Logical Workflow to the General Factory boundary.</w:t>
      </w:r>
    </w:p>
    <w:p>
      <w:pPr>
        <w:pStyle w:val="ListNumber"/>
      </w:pPr>
      <w:r>
        <w:t>Implement Verify / Validate / Compile / Run as the initial execution lifecycle.</w:t>
      </w:r>
    </w:p>
    <w:p>
      <w:pPr>
        <w:pStyle w:val="ListNumber"/>
      </w:pPr>
      <w:r>
        <w:t>Capture Results and Evidence/Provenance.</w:t>
      </w:r>
    </w:p>
    <w:p>
      <w:pPr>
        <w:pStyle w:val="ListNumber"/>
      </w:pPr>
      <w:r>
        <w:t>Add the Closed Loop workflow topology.</w:t>
      </w:r>
    </w:p>
    <w:p>
      <w:pPr>
        <w:pStyle w:val="ListNumber"/>
      </w:pPr>
      <w:r>
        <w:t>Extend the Resource View using Resource Fabric concepts.</w:t>
      </w:r>
    </w:p>
    <w:p>
      <w:pPr>
        <w:pStyle w:val="ListNumber"/>
      </w:pPr>
      <w:r>
        <w:t>Extend the Client View for simplified SaaS-style consumption.</w:t>
      </w:r>
    </w:p>
    <w:p>
      <w:pPr>
        <w:pStyle w:val="Heading1"/>
      </w:pPr>
      <w:r>
        <w:t>12. Initial MVP View</w:t>
      </w:r>
    </w:p>
    <w:p>
      <w:r>
        <w:t>The first working screen can be conceptually represented as:</w:t>
      </w:r>
    </w:p>
    <w:p>
      <w:r>
        <w:t>QAI Workflow View</w:t>
        <w:br/>
        <w:t>Mode: [Open Loop]</w:t>
        <w:br/>
        <w:br/>
        <w:t>[Input] → [Process] → [AI/QAI] → [Result]</w:t>
        <w:br/>
        <w:t xml:space="preserve">                              ↓</w:t>
        <w:br/>
        <w:t xml:space="preserve">                          [Evidence]</w:t>
        <w:br/>
        <w:br/>
        <w:t>Verify | Validate | Compile | Run</w:t>
      </w:r>
    </w:p>
    <w:p>
      <w:pPr>
        <w:pStyle w:val="Heading1"/>
      </w:pPr>
      <w:r>
        <w:t>13. Reference-Implementation Lifecycle</w:t>
      </w:r>
    </w:p>
    <w:p>
      <w:r>
        <w:t>The micro-frontend should follow the existing reference implementation lifecycle rather than being treated as a standalone UI project:</w:t>
      </w:r>
    </w:p>
    <w:p>
      <w:r>
        <w:t>Candidate → Sample → Integrated → Validated → Registered → Active Reference</w:t>
      </w:r>
    </w:p>
    <w:p>
      <w:pPr>
        <w:pStyle w:val="Heading1"/>
      </w:pPr>
      <w:r>
        <w:t>14. Guiding Principles</w:t>
      </w:r>
    </w:p>
    <w:p>
      <w:pPr>
        <w:pStyle w:val="ListBullet"/>
      </w:pPr>
      <w:r>
        <w:t>Start with the existing General Factory reference structure.</w:t>
      </w:r>
    </w:p>
    <w:p>
      <w:pPr>
        <w:pStyle w:val="ListBullet"/>
      </w:pPr>
      <w:r>
        <w:t>Keep the frontend separate from execution authority.</w:t>
      </w:r>
    </w:p>
    <w:p>
      <w:pPr>
        <w:pStyle w:val="ListBullet"/>
      </w:pPr>
      <w:r>
        <w:t>Keep the Logical Workflow model technology-neutral.</w:t>
      </w:r>
    </w:p>
    <w:p>
      <w:pPr>
        <w:pStyle w:val="ListBullet"/>
      </w:pPr>
      <w:r>
        <w:t>Treat React Flow, GLSP and BPMN as implementation references, not architecture definitions.</w:t>
      </w:r>
    </w:p>
    <w:p>
      <w:pPr>
        <w:pStyle w:val="ListBullet"/>
      </w:pPr>
      <w:r>
        <w:t>Reuse the existing Workflow Engine, Resource Fabric, QAI Lab and backend references.</w:t>
      </w:r>
    </w:p>
    <w:p>
      <w:pPr>
        <w:pStyle w:val="ListBullet"/>
      </w:pPr>
      <w:r>
        <w:t>Promote validated patterns rather than creating parallel execution paths.</w:t>
      </w:r>
    </w:p>
    <w:p>
      <w:pPr>
        <w:pStyle w:val="ListBullet"/>
      </w:pPr>
      <w:r>
        <w:t>Use the same logical problem/workflow representation across Open Loop and Closed Loop modes.</w:t>
      </w:r>
    </w:p>
    <w:p>
      <w:pPr>
        <w:pStyle w:val="ListBullet"/>
      </w:pPr>
      <w:r>
        <w:t>Capture results, validation and evidence as first-class outputs.</w:t>
      </w:r>
    </w:p>
    <w:p>
      <w:pPr>
        <w:pStyle w:val="Heading1"/>
      </w:pPr>
      <w:r>
        <w:t>15. Source Basis</w:t>
      </w:r>
    </w:p>
    <w:p>
      <w:r>
        <w:t>This reference was prepared from the supplied QAI Post-Pilot PaaS/IaaS/SaaS reference, QAI Post-Pilot PaaS Open/Closed Loop reference, QAI Lab Runtime/Resource Fabric discussion, the supplied reference_implementations.zip, and the previously supplied Micro Frontends reference.</w:t>
      </w:r>
    </w:p>
    <w:p>
      <w:r>
        <w:t>Document status: Working implementation reference — to be refined as the first Workflow View reference implementation is developed.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