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QAI Lab — Runtime, Resource Fabric and Rapid Quantum Execution</w:t>
      </w:r>
    </w:p>
    <w:p>
      <w:pPr>
        <w:jc w:val="center"/>
      </w:pPr>
      <w:r>
        <w:rPr>
          <w:b/>
        </w:rPr>
        <w:t>Post-Pilot Architecture Discussion Record</w:t>
      </w:r>
    </w:p>
    <w:p>
      <w:r>
        <w:t>This record captures the discussion on the QAI Lab execution environment, Resource Fabric, in-memory data and quantum-memory emulation, workload time/consistency, hybrid execution, problem mapping, solver selection, preprocessing, verification, validation, compilation and asynchronous execution.</w:t>
      </w:r>
    </w:p>
    <w:p>
      <w:pPr>
        <w:pStyle w:val="Heading1"/>
      </w:pPr>
      <w:r>
        <w:t>1. Basic QAI Lab Experiment Environment</w:t>
      </w:r>
    </w:p>
    <w:p>
      <w:r>
        <w:t>The QAI Lab needs a complete local execution environment rather than only a notebook or simulator.</w:t>
      </w:r>
    </w:p>
    <w:p>
      <w:r>
        <w:t>The basic setup consists of a controlled operating environment, QAI Runtime, in-memory memory/data structures and a Virtual QPU capable of local simulation and emulation.</w:t>
      </w:r>
    </w:p>
    <w:p>
      <w:r>
        <w:t>Conceptual flow: Experiment / Notebook → QAI Runtime → operating environment + QAI Memory + Virtual QPU → simulation/emulation → results.</w:t>
      </w:r>
    </w:p>
    <w:p>
      <w:r>
        <w:t>Local-first execution allows experiments to begin without immediately requiring cloud GPU, HPC or physical QPU resources.</w:t>
      </w:r>
    </w:p>
    <w:p>
      <w:pPr>
        <w:pStyle w:val="Heading1"/>
      </w:pPr>
      <w:r>
        <w:t>2. Common Computational Environment</w:t>
      </w:r>
    </w:p>
    <w:p>
      <w:r>
        <w:t>The same underlying architecture should support Classical AI, QAI/quantum-inspired, Quantum and Hybrid workloads.</w:t>
      </w:r>
    </w:p>
    <w:p>
      <w:r>
        <w:t>Classical AI may use local CPU, classical RAM, GPU, GPU memory, storage, networking and hardware virtualization/containerization.</w:t>
      </w:r>
    </w:p>
    <w:p>
      <w:r>
        <w:t>QAI workloads may use CPU/GPU resources, QAI Runtime, QAI memory structures and a Virtual QPU.</w:t>
      </w:r>
    </w:p>
    <w:p>
      <w:r>
        <w:t>Hybrid workloads coordinate multiple computational domains rather than treating quantum as an isolated backend.</w:t>
      </w:r>
    </w:p>
    <w:p>
      <w:pPr>
        <w:pStyle w:val="Heading1"/>
      </w:pPr>
      <w:r>
        <w:t>3. QAI Lab Resource Fabric</w:t>
      </w:r>
    </w:p>
    <w:p>
      <w:r>
        <w:t>The QAI Lab Resource Fabric is a critical post-pilot capability. A PaaS developer should be able to select available resources and compose a unique experiment environment.</w:t>
      </w:r>
    </w:p>
    <w:p>
      <w:r>
        <w:t>Resource classes may include CPU, GPU, TPU, NPU, FPGA, HPC, RAM, accelerator memory, storage, Virtual QPU, simulators, emulators, external QPUs, AI models, Generative AI models, partner services, local IT assets, remote IT assets, networks and high-speed interconnects.</w:t>
      </w:r>
    </w:p>
    <w:p>
      <w:r>
        <w:t>High-speed interconnects may include PCIe, CXL, NVLink, InfiniBand or other appropriate technologies. These remain implementation options rather than Framework dependencies.</w:t>
      </w:r>
    </w:p>
    <w:p>
      <w:r>
        <w:t>COTS hardware can initially provide the local HPC realization using hardware that is actually available.</w:t>
      </w:r>
    </w:p>
    <w:p>
      <w:pPr>
        <w:pStyle w:val="Heading1"/>
      </w:pPr>
      <w:r>
        <w:t>4. Resource Inventory</w:t>
      </w:r>
    </w:p>
    <w:p>
      <w:r>
        <w:t>The Factory should eventually maintain an inventory/catalogue of resources available to projects.</w:t>
      </w:r>
    </w:p>
    <w:p>
      <w:r>
        <w:t>Inventory metadata can include identity, type, capabilities, capacity, location, availability, access method, software/SDK, performance characteristics, cost or quota, security classification and provider/ownership.</w:t>
      </w:r>
    </w:p>
    <w:p>
      <w:r>
        <w:t>Partner resources can be represented in the same inventory model as local resources, including partner AI models, Generative AI models, quantum backends, cloud HPC, remote GPU, storage and external APIs.</w:t>
      </w:r>
    </w:p>
    <w:p>
      <w:pPr>
        <w:pStyle w:val="Heading1"/>
      </w:pPr>
      <w:r>
        <w:t>5. PaaS Environment Composition</w:t>
      </w:r>
    </w:p>
    <w:p>
      <w:r>
        <w:t>PaaS developers can compose an experiment environment from the available inventory.</w:t>
      </w:r>
    </w:p>
    <w:p>
      <w:r>
        <w:t>Selections can include CPU/GPU/HPC/QPU resources, RAM/VRAM/QAI Memory, quantum simulators, AI and Generative AI models, storage, networking, partner services and local or remote IT assets.</w:t>
      </w:r>
    </w:p>
    <w:p>
      <w:r>
        <w:t>The resulting Environment Definition is resolved by the Factory into concrete resources and bindings.</w:t>
      </w:r>
    </w:p>
    <w:p>
      <w:r>
        <w:t>SaaS resolves an approved/configured environment, whereas PaaS allows developers to design the environment.</w:t>
      </w:r>
    </w:p>
    <w:p>
      <w:pPr>
        <w:pStyle w:val="Heading1"/>
      </w:pPr>
      <w:r>
        <w:t>6. In-Memory Data and Quantum Memory Direction</w:t>
      </w:r>
    </w:p>
    <w:p>
      <w:r>
        <w:t>The QAI Lab needs an in-memory data layer for fast operational processing. This is conceptually different from conventional durable databases.</w:t>
      </w:r>
    </w:p>
    <w:p>
      <w:r>
        <w:t>The logical In-Memory Data Model can support tables, key/value structures, documents, arrays/tensors, graphs, event streams, state objects and quantum-specific representations.</w:t>
      </w:r>
    </w:p>
    <w:p>
      <w:r>
        <w:t>The in-memory layer can support CRUD plus filtering, transformation, mapping, reduction, aggregation, streaming, snapshotting, versioning and subscription.</w:t>
      </w:r>
    </w:p>
    <w:p>
      <w:r>
        <w:t>Because physical QRAM and QROM devices are not currently available for the intended platform, classical in-memory structures can initially realize the logical memory abstraction while providing a path toward QRAM/QROM emulation and eventually physical quantum memory.</w:t>
      </w:r>
    </w:p>
    <w:p>
      <w:r>
        <w:t>QRAM and QROM should remain distinct logical capabilities.</w:t>
      </w:r>
    </w:p>
    <w:p>
      <w:pPr>
        <w:pStyle w:val="Heading1"/>
      </w:pPr>
      <w:r>
        <w:t>7. Workload Time and Consistency</w:t>
      </w:r>
    </w:p>
    <w:p>
      <w:r>
        <w:t>Different workloads can require different operating time bins: real-time, near-real-time, batch/scheduled and asynchronous/long-term.</w:t>
      </w:r>
    </w:p>
    <w:p>
      <w:r>
        <w:t>Consistency is a separate dimension from time. Examples include latest-value state, ordered events, stronger hybrid-loop state consistency, transactional job state, immutable evidence and durable project data.</w:t>
      </w:r>
    </w:p>
    <w:p>
      <w:r>
        <w:t>Workload definitions can eventually carry requirements such as time bin, consistency, latency, ordering, durability, throughput and resource requirements.</w:t>
      </w:r>
    </w:p>
    <w:p>
      <w:pPr>
        <w:pStyle w:val="Heading1"/>
      </w:pPr>
      <w:r>
        <w:t>8. Problem Mapping and Solver Selection</w:t>
      </w:r>
    </w:p>
    <w:p>
      <w:r>
        <w:t>The QAI architecture is problem-driven rather than assuming every problem requires quantum computing.</w:t>
      </w:r>
    </w:p>
    <w:p>
      <w:r>
        <w:t>Conceptual flow: Real-World Problem → Problem Definition → Problem Classification / Mapping → Mathematical Formulation → Representation → Solver Selection → Preprocessing → Execution Plan.</w:t>
      </w:r>
    </w:p>
    <w:p>
      <w:r>
        <w:t>Solver options can include Classical, AI, QAI/quantum-inspired, Quantum and Hybrid approaches.</w:t>
      </w:r>
    </w:p>
    <w:p>
      <w:pPr>
        <w:pStyle w:val="Heading1"/>
      </w:pPr>
      <w:r>
        <w:t>9. Preprocessing Layer</w:t>
      </w:r>
    </w:p>
    <w:p>
      <w:r>
        <w:t>The preprocessing layer can prepare known, reusable structures before rapid execution.</w:t>
      </w:r>
    </w:p>
    <w:p>
      <w:r>
        <w:t>Examples include fixed or parameterized ansatz structures, state preparation, superposition preparation, entanglement operations, data encoding and measurement templates.</w:t>
      </w:r>
    </w:p>
    <w:p>
      <w:r>
        <w:t>Where possible, validated reusable structures can be prepared, cached or precompiled so repeated executions only need to bind changed parameters and execute.</w:t>
      </w:r>
    </w:p>
    <w:p>
      <w:r>
        <w:t>Design principle: Prepare once where possible; parameterize and reuse many times.</w:t>
      </w:r>
    </w:p>
    <w:p>
      <w:r>
        <w:t>Preprocessing prepares reusable structures and problem-specific bindings; compilation transforms the completed execution plan into a representation suitable for the selected runtime/backend.</w:t>
      </w:r>
    </w:p>
    <w:p>
      <w:pPr>
        <w:pStyle w:val="Heading1"/>
      </w:pPr>
      <w:r>
        <w:t>10. Virtual QPU</w:t>
      </w:r>
    </w:p>
    <w:p>
      <w:r>
        <w:t>The Virtual QPU provides the local quantum execution abstraction for the QAI Lab.</w:t>
      </w:r>
    </w:p>
    <w:p>
      <w:r>
        <w:t>It can initially support local simulation and emulation and later resolve the same logical interface to external physical QPUs.</w:t>
      </w:r>
    </w:p>
    <w:p>
      <w:r>
        <w:t>Potential realization path: local simulator → high-performance simulator → emulator → external physical QPU.</w:t>
      </w:r>
    </w:p>
    <w:p>
      <w:pPr>
        <w:pStyle w:val="Heading1"/>
      </w:pPr>
      <w:r>
        <w:t>11. Workflow Verification, Validation and Compilation</w:t>
      </w:r>
    </w:p>
    <w:p>
      <w:r>
        <w:t>Once the PaaS developer completes a workflow, the Factory should not immediately execute it.</w:t>
      </w:r>
    </w:p>
    <w:p>
      <w:r>
        <w:t>Verify checks structural correctness: required inputs, interfaces, ports, dependencies and referenced resources.</w:t>
      </w:r>
    </w:p>
    <w:p>
      <w:r>
        <w:t>Validate checks whether the workflow can execute under the selected environment: resource availability, model/backend compatibility, memory requirements, timing constraints, policy, quota and security conditions.</w:t>
      </w:r>
    </w:p>
    <w:p>
      <w:r>
        <w:t>Compile transforms the logical workflow into an executable representation and eventually backend-specific tasks.</w:t>
      </w:r>
    </w:p>
    <w:p>
      <w:r>
        <w:t>After compilation, the Factory resolves resources, schedules tasks and executes the workflow.</w:t>
      </w:r>
    </w:p>
    <w:p>
      <w:pPr>
        <w:pStyle w:val="Heading1"/>
      </w:pPr>
      <w:r>
        <w:t>12. Asynchronous Execution</w:t>
      </w:r>
    </w:p>
    <w:p>
      <w:r>
        <w:t>Hybrid workloads may launch multiple tasks across CPU, GPU, QPU/simulator, AI/Generative AI services, HPC and external resources.</w:t>
      </w:r>
    </w:p>
    <w:p>
      <w:r>
        <w:t>These tasks do not necessarily complete simultaneously. The QAI Runtime therefore needs an execution manager and task/job graph capable of asynchronous execution.</w:t>
      </w:r>
    </w:p>
    <w:p>
      <w:r>
        <w:t>Results are returned as tasks complete, tracked by execution identifiers, and passed to a result manager for verification, aggregation and assembly.</w:t>
      </w:r>
    </w:p>
    <w:p>
      <w:pPr>
        <w:pStyle w:val="Heading1"/>
      </w:pPr>
      <w:r>
        <w:t>13. Result, Provenance and Evidence</w:t>
      </w:r>
    </w:p>
    <w:p>
      <w:r>
        <w:t>Each result should eventually carry metadata identifying the task, execution, resource/backend, input reference, output, execution status, validation status, timestamp and provenance.</w:t>
      </w:r>
    </w:p>
    <w:p>
      <w:r>
        <w:t>This is important when a final output combines results from GPU inference, quantum simulation, HPC optimization and Generative AI interpretation.</w:t>
      </w:r>
    </w:p>
    <w:p>
      <w:r>
        <w:t>Evidence and provenance remain first-class so results can be traced to their execution context.</w:t>
      </w:r>
    </w:p>
    <w:p>
      <w:pPr>
        <w:pStyle w:val="Heading1"/>
      </w:pPr>
      <w:r>
        <w:t>14. Emerging QAI Lab Runtime Architecture</w:t>
      </w:r>
    </w:p>
    <w:p>
      <w:r>
        <w:t>The discussion is converging toward one common execution architecture rather than separate Classical, AI, Quantum and Hybrid laboratory architectures.</w:t>
      </w:r>
    </w:p>
    <w:p>
      <w:r>
        <w:t>Core chain: Problem → Problem Mapper → Mathematical Model → Representation → Solver Selector → Preprocessor → Workflow Compiler → Execution Planner → Resource Fabric → Asynchronous Runtime → CPU/GPU/HPC/Virtual QPU/External Backend → Result Manager → Verification → Assembly → Evidence.</w:t>
      </w:r>
    </w:p>
    <w:p>
      <w:r>
        <w:t>The workload type determines the required resource topology and operating process, but does not redefine the underlying platform architecture.</w:t>
      </w:r>
    </w:p>
    <w:p>
      <w:pPr>
        <w:pStyle w:val="Heading1"/>
      </w:pPr>
      <w:r>
        <w:t>15. Strategic Principle</w:t>
      </w:r>
    </w:p>
    <w:p>
      <w:r>
        <w:t>The General Framework should define logical capabilities and contracts, while the General Factory provides concrete implementations and integrations.</w:t>
      </w:r>
    </w:p>
    <w:p>
      <w:r>
        <w:t>Existing IDEs, SDKs, quantum frameworks, AI services, partner backends and COTS hardware can be used as implementation references and initial realizations without becoming architectural dependencies.</w:t>
      </w:r>
    </w:p>
    <w:p>
      <w:r>
        <w:t>The QAI Lab should provide a virtual-first, resource-aware and workload-aware execution environment that can progressively move from local COTS resources and simulation toward distributed HPC, partner infrastructure and physical QAI hardware.</w:t>
      </w:r>
    </w:p>
    <w:p>
      <w:pPr>
        <w:pStyle w:val="Heading1"/>
      </w:pPr>
      <w:r>
        <w:t>16. Consolidated Execution Flow</w:t>
      </w:r>
    </w:p>
    <w:p>
      <w:r>
        <w:t>PaaS Environment Design → Resource Inventory → Environment Definition → Problem Definition → Problem Mapping → Mathematical Model → Representation → Solver Selection → Preprocessing → Workflow Design → Verify → Validate → Compile → Resolve → Schedule → Asynchronous Execution → Result Collection → Verification → Assembly → Final Output → Evidence / Provenance.</w:t>
      </w:r>
    </w:p>
    <w:p>
      <w:pPr>
        <w:jc w:val="center"/>
      </w:pPr>
      <w:r>
        <w:rPr>
          <w:i/>
        </w:rPr>
        <w:t>End of discussion record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