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b/>
          <w:sz w:val="56"/>
        </w:rPr>
        <w:t>QAI Factory</w:t>
      </w:r>
    </w:p>
    <w:p>
      <w:pPr>
        <w:jc w:val="center"/>
      </w:pPr>
      <w:r>
        <w:rPr>
          <w:b/>
          <w:sz w:val="44"/>
        </w:rPr>
        <w:t>Virtual CPS Simulation and Design-Space Exploration</w:t>
      </w:r>
    </w:p>
    <w:p>
      <w:pPr>
        <w:jc w:val="center"/>
      </w:pPr>
      <w:r>
        <w:rPr>
          <w:sz w:val="26"/>
        </w:rPr>
        <w:t>Architecture findings, simulation portfolio, multi-fidelity execution, AI exploration, and quantum/QAI integration</w:t>
      </w:r>
    </w:p>
    <w:p>
      <w:pPr>
        <w:jc w:val="center"/>
      </w:pPr>
      <w:r>
        <w:rPr>
          <w:i/>
          <w:sz w:val="22"/>
        </w:rPr>
        <w:t>Offline reference document</w:t>
      </w:r>
    </w:p>
    <w:p>
      <w:pPr>
        <w:spacing w:before="400"/>
        <w:jc w:val="center"/>
      </w:pPr>
      <w:r>
        <w:rPr>
          <w:sz w:val="20"/>
        </w:rPr>
        <w:t>Prepared from the September 2026 QAI Factory / Digital CPS architecture discussion</w:t>
      </w:r>
    </w:p>
    <w:p>
      <w:pPr>
        <w:pStyle w:val="Heading1"/>
      </w:pPr>
      <w:r>
        <w:t>1. Executive Summary</w:t>
      </w:r>
    </w:p>
    <w:p>
      <w:r>
        <w:rPr>
          <w:b/>
        </w:rPr>
        <w:t xml:space="preserve">Core finding: </w:t>
      </w:r>
      <w:r>
        <w:t>the QAI Factory should not be designed as a single CPS simulator or a single quantum-circuit simulator. It should operate as a simulation and design-space exploration environment that can select and compose different representations, simulation methods, AI search methods, and quantum/QAI methods around a common virtual CPS problem.</w:t>
      </w:r>
    </w:p>
    <w:p>
      <w:r>
        <w:rPr>
          <w:b/>
        </w:rPr>
        <w:t xml:space="preserve">The central architectural principle is: </w:t>
      </w:r>
      <w:r>
        <w:t>One problem representation → many executable representations → many simulation methods → common evidence.</w:t>
      </w:r>
    </w:p>
    <w:p>
      <w:r>
        <w:t>The practical objective is to use cheap models for broad exploration, more expensive models for validation, and physical or quantum hardware only when it adds required evidence. This supports Digital Framework → Digital Factory → Domain → Client continuity without forcing every client problem into one technology.</w:t>
      </w:r>
    </w:p>
    <w:p>
      <w:pPr>
        <w:pStyle w:val="Heading1"/>
      </w:pPr>
      <w:r>
        <w:t>2. Represent the Problem as a Virtual CPS Model</w:t>
      </w:r>
    </w:p>
    <w:p>
      <w:r>
        <w:t>The Factory should simulate structured Virtual CPS Elements rather than isolated algorithms. A common virtual representation can contain:</w:t>
      </w:r>
    </w:p>
    <w:p>
      <w:pPr>
        <w:pStyle w:val="ListBullet"/>
      </w:pPr>
      <w:r>
        <w:t>Identity</w:t>
      </w:r>
    </w:p>
    <w:p>
      <w:pPr>
        <w:pStyle w:val="ListBullet"/>
      </w:pPr>
      <w:r>
        <w:t>Actor / Agent</w:t>
      </w:r>
    </w:p>
    <w:p>
      <w:pPr>
        <w:pStyle w:val="ListBullet"/>
      </w:pPr>
      <w:r>
        <w:t>Asset</w:t>
      </w:r>
    </w:p>
    <w:p>
      <w:pPr>
        <w:pStyle w:val="ListBullet"/>
      </w:pPr>
      <w:r>
        <w:t>Environment</w:t>
      </w:r>
    </w:p>
    <w:p>
      <w:pPr>
        <w:pStyle w:val="ListBullet"/>
      </w:pPr>
      <w:r>
        <w:t>State</w:t>
      </w:r>
    </w:p>
    <w:p>
      <w:pPr>
        <w:pStyle w:val="ListBullet"/>
      </w:pPr>
      <w:r>
        <w:t>Behaviour Model</w:t>
      </w:r>
    </w:p>
    <w:p>
      <w:pPr>
        <w:pStyle w:val="ListBullet"/>
      </w:pPr>
      <w:r>
        <w:t>Interfaces</w:t>
      </w:r>
    </w:p>
    <w:p>
      <w:pPr>
        <w:pStyle w:val="ListBullet"/>
      </w:pPr>
      <w:r>
        <w:t>Resources</w:t>
      </w:r>
    </w:p>
    <w:p>
      <w:pPr>
        <w:pStyle w:val="ListBullet"/>
      </w:pPr>
      <w:r>
        <w:t>Constraints</w:t>
      </w:r>
    </w:p>
    <w:p>
      <w:pPr>
        <w:pStyle w:val="ListBullet"/>
      </w:pPr>
      <w:r>
        <w:t>Objectives / Value</w:t>
      </w:r>
    </w:p>
    <w:p>
      <w:pPr>
        <w:pStyle w:val="ListBullet"/>
      </w:pPr>
      <w:r>
        <w:t>Uncertainty</w:t>
      </w:r>
    </w:p>
    <w:p>
      <w:pPr>
        <w:pStyle w:val="ListBullet"/>
      </w:pPr>
      <w:r>
        <w:t>Design Variables</w:t>
      </w:r>
    </w:p>
    <w:p>
      <w:pPr>
        <w:pStyle w:val="ListBullet"/>
      </w:pPr>
      <w:r>
        <w:t>Evidence</w:t>
      </w:r>
    </w:p>
    <w:p>
      <w:pPr>
        <w:pStyle w:val="ListBullet"/>
      </w:pPr>
      <w:r>
        <w:t>Provenance</w:t>
      </w:r>
    </w:p>
    <w:p>
      <w:r>
        <w:rPr>
          <w:b/>
        </w:rPr>
        <w:t xml:space="preserve">Example — Digital Farm: </w:t>
      </w:r>
      <w:r>
        <w:t>the model can include farmer and farm-manager actors; fields, irrigation, storage, vehicles and sensors as assets; soil moisture, crop stress, weather, water, energy, labour, inventory and demand as state variables; plus cost, timing, service, water, energy and operational constraints.</w:t>
      </w:r>
    </w:p>
    <w:p>
      <w:pPr>
        <w:pStyle w:val="Heading1"/>
      </w:pPr>
      <w:r>
        <w:t>3. Separate the Digital Framework from the Simulation Engine</w:t>
      </w:r>
    </w:p>
    <w:p>
      <w:pPr>
        <w:pStyle w:val="NoSpacing"/>
        <w:spacing w:before="80" w:after="120"/>
        <w:ind w:left="360" w:right="144"/>
      </w:pPr>
      <w:r>
        <w:rPr>
          <w:rFonts w:ascii="Courier New" w:hAnsi="Courier New"/>
          <w:sz w:val="17"/>
        </w:rPr>
        <w:t>GENERAL DIGITAL CPS FRAMEWORK</w:t>
        <w:br/>
        <w:t xml:space="preserve">        │</w:t>
        <w:br/>
        <w:t xml:space="preserve">        │  Requirements | Assets | Actors | Knowledge</w:t>
        <w:br/>
        <w:t xml:space="preserve">        │  Architecture | Constraints | Objectives</w:t>
        <w:br/>
        <w:t xml:space="preserve">        ▼</w:t>
        <w:br/>
        <w:t>VIRTUAL CPS MODEL</w:t>
        <w:br/>
        <w:t xml:space="preserve">        │</w:t>
        <w:br/>
        <w:t xml:space="preserve">        ▼</w:t>
        <w:br/>
        <w:t>SIMULATION CONTRACT</w:t>
        <w:br/>
        <w:t xml:space="preserve">        │</w:t>
        <w:br/>
        <w:t xml:space="preserve">   ┌────┼───────────────┐</w:t>
        <w:br/>
        <w:t xml:space="preserve">   ▼    ▼               ▼</w:t>
        <w:br/>
        <w:t>Classical   AI/QAI      Quantum</w:t>
        <w:br/>
        <w:t>Simulation  Simulation  Simulation</w:t>
        <w:br/>
        <w:t xml:space="preserve">   │         │               │</w:t>
        <w:br/>
        <w:t xml:space="preserve">   └─────────┼───────────────┘</w:t>
        <w:br/>
        <w:t xml:space="preserve">             ▼</w:t>
        <w:br/>
        <w:t xml:space="preserve">     COMMON RESULT MODEL</w:t>
        <w:br/>
        <w:t xml:space="preserve">             │</w:t>
        <w:br/>
        <w:t xml:space="preserve">             ▼</w:t>
        <w:br/>
        <w:t xml:space="preserve">     DESIGN-SPACE EXPLORER</w:t>
        <w:br/>
        <w:t xml:space="preserve">             │</w:t>
        <w:br/>
        <w:t xml:space="preserve">             ▼</w:t>
        <w:br/>
        <w:t xml:space="preserve">       HUMAN REVIEW</w:t>
      </w:r>
    </w:p>
    <w:p>
      <w:r>
        <w:t>The Digital Framework describes what the system is and preserves authoritative knowledge, requirements, assets, constraints and context. The Digital Factory determines how the system is experimentally represented, executed, compared and validated.</w:t>
      </w:r>
    </w:p>
    <w:p>
      <w:pPr>
        <w:pStyle w:val="Heading1"/>
      </w:pPr>
      <w:r>
        <w:t>4. Tensor Networks as One Quantum Simulation Backend</w:t>
      </w:r>
    </w:p>
    <w:p>
      <w:r>
        <w:t>Tensor Networks should be treated as a backend family inside a broader quantum/QAI simulation portfolio, not as the universal simulator.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
              <w:rPr>
                <w:b/>
              </w:rPr>
              <w:t>Problem / circuit structure</w:t>
            </w:r>
          </w:p>
        </w:tc>
        <w:tc>
          <w:tcPr>
            <w:tcW w:type="dxa" w:w="5040"/>
            <w:vAlign w:val="center"/>
          </w:tcPr>
          <w:p>
            <w:pPr>
              <w:spacing w:after="0"/>
            </w:pPr>
            <w:r/>
            <w:r>
              <w:rPr>
                <w:b/>
              </w:rPr>
              <w:t>Possible classical quantum simulation approach</w:t>
            </w:r>
          </w:p>
        </w:tc>
      </w:tr>
      <w:tr>
        <w:tc>
          <w:tcPr>
            <w:tcW w:type="dxa" w:w="5040"/>
            <w:vAlign w:val="center"/>
          </w:tcPr>
          <w:p>
            <w:pPr>
              <w:spacing w:after="0"/>
            </w:pPr>
            <w:r/>
            <w:r>
              <w:rPr>
                <w:b w:val="0"/>
              </w:rPr>
              <w:t>Small circuit</w:t>
            </w:r>
          </w:p>
        </w:tc>
        <w:tc>
          <w:tcPr>
            <w:tcW w:type="dxa" w:w="5040"/>
            <w:vAlign w:val="center"/>
          </w:tcPr>
          <w:p>
            <w:pPr>
              <w:spacing w:after="0"/>
            </w:pPr>
            <w:r/>
            <w:r>
              <w:rPr>
                <w:b w:val="0"/>
              </w:rPr>
              <w:t>State-vector simulation</w:t>
            </w:r>
          </w:p>
        </w:tc>
      </w:tr>
      <w:tr>
        <w:tc>
          <w:tcPr>
            <w:tcW w:type="dxa" w:w="5040"/>
            <w:vAlign w:val="center"/>
          </w:tcPr>
          <w:p>
            <w:pPr>
              <w:spacing w:after="0"/>
            </w:pPr>
            <w:r/>
            <w:r>
              <w:rPr>
                <w:b w:val="0"/>
              </w:rPr>
              <w:t>Clifford / stabilizer structure</w:t>
            </w:r>
          </w:p>
        </w:tc>
        <w:tc>
          <w:tcPr>
            <w:tcW w:type="dxa" w:w="5040"/>
            <w:vAlign w:val="center"/>
          </w:tcPr>
          <w:p>
            <w:pPr>
              <w:spacing w:after="0"/>
            </w:pPr>
            <w:r/>
            <w:r>
              <w:rPr>
                <w:b w:val="0"/>
              </w:rPr>
              <w:t>Stabilizer methods</w:t>
            </w:r>
          </w:p>
        </w:tc>
      </w:tr>
      <w:tr>
        <w:tc>
          <w:tcPr>
            <w:tcW w:type="dxa" w:w="5040"/>
            <w:vAlign w:val="center"/>
          </w:tcPr>
          <w:p>
            <w:pPr>
              <w:spacing w:after="0"/>
            </w:pPr>
            <w:r/>
            <w:r>
              <w:rPr>
                <w:b w:val="0"/>
              </w:rPr>
              <w:t>Near-1D / modest entanglement</w:t>
            </w:r>
          </w:p>
        </w:tc>
        <w:tc>
          <w:tcPr>
            <w:tcW w:type="dxa" w:w="5040"/>
            <w:vAlign w:val="center"/>
          </w:tcPr>
          <w:p>
            <w:pPr>
              <w:spacing w:after="0"/>
            </w:pPr>
            <w:r/>
            <w:r>
              <w:rPr>
                <w:b w:val="0"/>
              </w:rPr>
              <w:t>MPS</w:t>
            </w:r>
          </w:p>
        </w:tc>
      </w:tr>
      <w:tr>
        <w:tc>
          <w:tcPr>
            <w:tcW w:type="dxa" w:w="5040"/>
            <w:vAlign w:val="center"/>
          </w:tcPr>
          <w:p>
            <w:pPr>
              <w:spacing w:after="0"/>
            </w:pPr>
            <w:r/>
            <w:r>
              <w:rPr>
                <w:b w:val="0"/>
              </w:rPr>
              <w:t>2-D local structure</w:t>
            </w:r>
          </w:p>
        </w:tc>
        <w:tc>
          <w:tcPr>
            <w:tcW w:type="dxa" w:w="5040"/>
            <w:vAlign w:val="center"/>
          </w:tcPr>
          <w:p>
            <w:pPr>
              <w:spacing w:after="0"/>
            </w:pPr>
            <w:r/>
            <w:r>
              <w:rPr>
                <w:b w:val="0"/>
              </w:rPr>
              <w:t>PEPS</w:t>
            </w:r>
          </w:p>
        </w:tc>
      </w:tr>
      <w:tr>
        <w:tc>
          <w:tcPr>
            <w:tcW w:type="dxa" w:w="5040"/>
            <w:vAlign w:val="center"/>
          </w:tcPr>
          <w:p>
            <w:pPr>
              <w:spacing w:after="0"/>
            </w:pPr>
            <w:r/>
            <w:r>
              <w:rPr>
                <w:b w:val="0"/>
              </w:rPr>
              <w:t>Hierarchical connectivity</w:t>
            </w:r>
          </w:p>
        </w:tc>
        <w:tc>
          <w:tcPr>
            <w:tcW w:type="dxa" w:w="5040"/>
            <w:vAlign w:val="center"/>
          </w:tcPr>
          <w:p>
            <w:pPr>
              <w:spacing w:after="0"/>
            </w:pPr>
            <w:r/>
            <w:r>
              <w:rPr>
                <w:b w:val="0"/>
              </w:rPr>
              <w:t>TTN</w:t>
            </w:r>
          </w:p>
        </w:tc>
      </w:tr>
      <w:tr>
        <w:tc>
          <w:tcPr>
            <w:tcW w:type="dxa" w:w="5040"/>
            <w:vAlign w:val="center"/>
          </w:tcPr>
          <w:p>
            <w:pPr>
              <w:spacing w:after="0"/>
            </w:pPr>
            <w:r/>
            <w:r>
              <w:rPr>
                <w:b w:val="0"/>
              </w:rPr>
              <w:t>Operator-heavy problem</w:t>
            </w:r>
          </w:p>
        </w:tc>
        <w:tc>
          <w:tcPr>
            <w:tcW w:type="dxa" w:w="5040"/>
            <w:vAlign w:val="center"/>
          </w:tcPr>
          <w:p>
            <w:pPr>
              <w:spacing w:after="0"/>
            </w:pPr>
            <w:r/>
            <w:r>
              <w:rPr>
                <w:b w:val="0"/>
              </w:rPr>
              <w:t>MPO</w:t>
            </w:r>
          </w:p>
        </w:tc>
      </w:tr>
      <w:tr>
        <w:tc>
          <w:tcPr>
            <w:tcW w:type="dxa" w:w="5040"/>
            <w:vAlign w:val="center"/>
          </w:tcPr>
          <w:p>
            <w:pPr>
              <w:spacing w:after="0"/>
            </w:pPr>
            <w:r/>
            <w:r>
              <w:rPr>
                <w:b w:val="0"/>
              </w:rPr>
              <w:t>Structured tensor contraction</w:t>
            </w:r>
          </w:p>
        </w:tc>
        <w:tc>
          <w:tcPr>
            <w:tcW w:type="dxa" w:w="5040"/>
            <w:vAlign w:val="center"/>
          </w:tcPr>
          <w:p>
            <w:pPr>
              <w:spacing w:after="0"/>
            </w:pPr>
            <w:r/>
            <w:r>
              <w:rPr>
                <w:b w:val="0"/>
              </w:rPr>
              <w:t>Tensor-network contraction / slicing</w:t>
            </w:r>
          </w:p>
        </w:tc>
      </w:tr>
      <w:tr>
        <w:tc>
          <w:tcPr>
            <w:tcW w:type="dxa" w:w="5040"/>
            <w:vAlign w:val="center"/>
          </w:tcPr>
          <w:p>
            <w:pPr>
              <w:spacing w:after="0"/>
            </w:pPr>
            <w:r/>
            <w:r>
              <w:rPr>
                <w:b w:val="0"/>
              </w:rPr>
              <w:t>Large approximate problem</w:t>
            </w:r>
          </w:p>
        </w:tc>
        <w:tc>
          <w:tcPr>
            <w:tcW w:type="dxa" w:w="5040"/>
            <w:vAlign w:val="center"/>
          </w:tcPr>
          <w:p>
            <w:pPr>
              <w:spacing w:after="0"/>
            </w:pPr>
            <w:r/>
            <w:r>
              <w:rPr>
                <w:b w:val="0"/>
              </w:rPr>
              <w:t>Truncated / approximate tensor networks</w:t>
            </w:r>
          </w:p>
        </w:tc>
      </w:tr>
      <w:tr>
        <w:tc>
          <w:tcPr>
            <w:tcW w:type="dxa" w:w="5040"/>
            <w:vAlign w:val="center"/>
          </w:tcPr>
          <w:p>
            <w:pPr>
              <w:spacing w:after="0"/>
            </w:pPr>
            <w:r/>
            <w:r>
              <w:rPr>
                <w:b w:val="0"/>
              </w:rPr>
              <w:t>Decomposable problem</w:t>
            </w:r>
          </w:p>
        </w:tc>
        <w:tc>
          <w:tcPr>
            <w:tcW w:type="dxa" w:w="5040"/>
            <w:vAlign w:val="center"/>
          </w:tcPr>
          <w:p>
            <w:pPr>
              <w:spacing w:after="0"/>
            </w:pPr>
            <w:r/>
            <w:r>
              <w:rPr>
                <w:b w:val="0"/>
              </w:rPr>
              <w:t>Circuit cutting / partitioning</w:t>
            </w:r>
          </w:p>
        </w:tc>
      </w:tr>
      <w:tr>
        <w:tc>
          <w:tcPr>
            <w:tcW w:type="dxa" w:w="5040"/>
            <w:vAlign w:val="center"/>
          </w:tcPr>
          <w:p>
            <w:pPr>
              <w:spacing w:after="0"/>
            </w:pPr>
            <w:r/>
            <w:r>
              <w:rPr>
                <w:b w:val="0"/>
              </w:rPr>
              <w:t>Very small subproblem</w:t>
            </w:r>
          </w:p>
        </w:tc>
        <w:tc>
          <w:tcPr>
            <w:tcW w:type="dxa" w:w="5040"/>
            <w:vAlign w:val="center"/>
          </w:tcPr>
          <w:p>
            <w:pPr>
              <w:spacing w:after="0"/>
            </w:pPr>
            <w:r/>
            <w:r>
              <w:rPr>
                <w:b w:val="0"/>
              </w:rPr>
              <w:t>Exact matrix simulation</w:t>
            </w:r>
          </w:p>
        </w:tc>
      </w:tr>
    </w:tbl>
    <w:p>
      <w:r>
        <w:t>The relevant insight from the cited quantum-simulation material is that simulation cost depends strongly on problem/circuit structure and the chosen representation or contraction strategy. This supports method selection rather than a one-size-fits-all simulator.</w:t>
      </w:r>
    </w:p>
    <w:p>
      <w:pPr>
        <w:pStyle w:val="Heading1"/>
      </w:pPr>
      <w:r>
        <w:t>5. Problem Transformation Layer: Manifolds, Embeddings, Grover, Quaternions and Nonlinear Mappings</w:t>
      </w:r>
    </w:p>
    <w:p>
      <w:r>
        <w:t>The QAI methods discussed for the Factory can be positioned as problem-transformation mechanisms as well as solver mechanisms. They can change the representation or search space before an expensive simulation is attempted.</w:t>
      </w:r>
    </w:p>
    <w:p>
      <w:pPr>
        <w:pStyle w:val="NoSpacing"/>
        <w:spacing w:before="80" w:after="120"/>
        <w:ind w:left="360" w:right="144"/>
      </w:pPr>
      <w:r>
        <w:rPr>
          <w:rFonts w:ascii="Courier New" w:hAnsi="Courier New"/>
          <w:sz w:val="17"/>
        </w:rPr>
        <w:t>Real-world problem</w:t>
        <w:br/>
        <w:t xml:space="preserve">      │</w:t>
        <w:br/>
        <w:t xml:space="preserve">      ▼</w:t>
        <w:br/>
        <w:t>Problem representation</w:t>
        <w:br/>
        <w:t xml:space="preserve">      ├── graph representation</w:t>
        <w:br/>
        <w:t xml:space="preserve">      ├── tensor representation</w:t>
        <w:br/>
        <w:t xml:space="preserve">      ├── manifold representation</w:t>
        <w:br/>
        <w:t xml:space="preserve">      ├── vector / feature representation</w:t>
        <w:br/>
        <w:t xml:space="preserve">      ├── quaternion representation</w:t>
        <w:br/>
        <w:t xml:space="preserve">      └── quantum encoding</w:t>
        <w:br/>
        <w:t xml:space="preserve">      │</w:t>
        <w:br/>
        <w:t xml:space="preserve">      ▼</w:t>
        <w:br/>
        <w:t>Problem transformation</w:t>
        <w:br/>
        <w:t xml:space="preserve">      ├── dimensionality reduction</w:t>
        <w:br/>
        <w:t xml:space="preserve">      ├── decomposition</w:t>
        <w:br/>
        <w:t xml:space="preserve">      ├── embedding</w:t>
        <w:br/>
        <w:t xml:space="preserve">      ├── feature mapping</w:t>
        <w:br/>
        <w:t xml:space="preserve">      ├── constraint transformation</w:t>
        <w:br/>
        <w:t xml:space="preserve">      └── search-space transformation</w:t>
        <w:br/>
        <w:t xml:space="preserve">      │</w:t>
        <w:br/>
        <w:t xml:space="preserve">      ▼</w:t>
        <w:br/>
        <w:t>Solver / Simulator</w:t>
      </w:r>
    </w:p>
    <w:p>
      <w:r>
        <w:t>This creates a measurable path from a large CPS problem to a tractable candidate formulation. The Factory should measure the cost and fidelity of each transformation rather than assume that any particular transformation produces a universal advantage.</w:t>
      </w:r>
    </w:p>
    <w:p>
      <w:pPr>
        <w:pStyle w:val="Heading1"/>
      </w:pPr>
      <w:r>
        <w:t>6. Three-Speed / Multi-Fidelity Simulation Architecture</w:t>
      </w:r>
    </w:p>
    <w:p>
      <w:r>
        <w:t>A practical Factory should use different fidelity levels for different purposes: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0"/>
            </w:pPr>
            <w:r/>
            <w:r>
              <w:rPr>
                <w:b/>
              </w:rPr>
              <w:t>Level</w:t>
            </w:r>
          </w:p>
        </w:tc>
        <w:tc>
          <w:tcPr>
            <w:tcW w:type="dxa" w:w="2520"/>
            <w:vAlign w:val="center"/>
          </w:tcPr>
          <w:p>
            <w:pPr>
              <w:spacing w:after="0"/>
            </w:pPr>
            <w:r/>
            <w:r>
              <w:rPr>
                <w:b/>
              </w:rPr>
              <w:t>Primary purpose</w:t>
            </w:r>
          </w:p>
        </w:tc>
        <w:tc>
          <w:tcPr>
            <w:tcW w:type="dxa" w:w="2520"/>
            <w:vAlign w:val="center"/>
          </w:tcPr>
          <w:p>
            <w:pPr>
              <w:spacing w:after="0"/>
            </w:pPr>
            <w:r/>
            <w:r>
              <w:rPr>
                <w:b/>
              </w:rPr>
              <w:t>Typical methods</w:t>
            </w:r>
          </w:p>
        </w:tc>
        <w:tc>
          <w:tcPr>
            <w:tcW w:type="dxa" w:w="2520"/>
            <w:vAlign w:val="center"/>
          </w:tcPr>
          <w:p>
            <w:pPr>
              <w:spacing w:after="0"/>
            </w:pPr>
            <w:r/>
            <w:r>
              <w:rPr>
                <w:b/>
              </w:rPr>
              <w:t>Typical scale</w:t>
            </w:r>
          </w:p>
        </w:tc>
      </w:tr>
      <w:tr>
        <w:tc>
          <w:tcPr>
            <w:tcW w:type="dxa" w:w="2520"/>
            <w:vAlign w:val="center"/>
          </w:tcPr>
          <w:p>
            <w:pPr>
              <w:spacing w:after="0"/>
            </w:pPr>
            <w:r/>
            <w:r>
              <w:rPr>
                <w:b w:val="0"/>
              </w:rPr>
              <w:t>Level 1 — Fast Exploration</w:t>
            </w:r>
          </w:p>
        </w:tc>
        <w:tc>
          <w:tcPr>
            <w:tcW w:type="dxa" w:w="2520"/>
            <w:vAlign w:val="center"/>
          </w:tcPr>
          <w:p>
            <w:pPr>
              <w:spacing w:after="0"/>
            </w:pPr>
            <w:r/>
            <w:r>
              <w:rPr>
                <w:b w:val="0"/>
              </w:rPr>
              <w:t>Search broad design space</w:t>
            </w:r>
          </w:p>
        </w:tc>
        <w:tc>
          <w:tcPr>
            <w:tcW w:type="dxa" w:w="2520"/>
            <w:vAlign w:val="center"/>
          </w:tcPr>
          <w:p>
            <w:pPr>
              <w:spacing w:after="0"/>
            </w:pPr>
            <w:r/>
            <w:r>
              <w:rPr>
                <w:b w:val="0"/>
              </w:rPr>
              <w:t>Analytical models, reduced-order models, surrogates, ML, approximate TNs, simplified CPS models</w:t>
            </w:r>
          </w:p>
        </w:tc>
        <w:tc>
          <w:tcPr>
            <w:tcW w:type="dxa" w:w="2520"/>
            <w:vAlign w:val="center"/>
          </w:tcPr>
          <w:p>
            <w:pPr>
              <w:spacing w:after="0"/>
            </w:pPr>
            <w:r/>
            <w:r>
              <w:rPr>
                <w:b w:val="0"/>
              </w:rPr>
              <w:t>Thousands to very large candidate sets</w:t>
            </w:r>
          </w:p>
        </w:tc>
      </w:tr>
      <w:tr>
        <w:tc>
          <w:tcPr>
            <w:tcW w:type="dxa" w:w="2520"/>
            <w:vAlign w:val="center"/>
          </w:tcPr>
          <w:p>
            <w:pPr>
              <w:spacing w:after="0"/>
            </w:pPr>
            <w:r/>
            <w:r>
              <w:rPr>
                <w:b w:val="0"/>
              </w:rPr>
              <w:t>Level 2 — Intermediate Validation</w:t>
            </w:r>
          </w:p>
        </w:tc>
        <w:tc>
          <w:tcPr>
            <w:tcW w:type="dxa" w:w="2520"/>
            <w:vAlign w:val="center"/>
          </w:tcPr>
          <w:p>
            <w:pPr>
              <w:spacing w:after="0"/>
            </w:pPr>
            <w:r/>
            <w:r>
              <w:rPr>
                <w:b w:val="0"/>
              </w:rPr>
              <w:t>Eliminate weak candidates with more detail</w:t>
            </w:r>
          </w:p>
        </w:tc>
        <w:tc>
          <w:tcPr>
            <w:tcW w:type="dxa" w:w="2520"/>
            <w:vAlign w:val="center"/>
          </w:tcPr>
          <w:p>
            <w:pPr>
              <w:spacing w:after="0"/>
            </w:pPr>
            <w:r/>
            <w:r>
              <w:rPr>
                <w:b w:val="0"/>
              </w:rPr>
              <w:t>Agent-based, discrete-event, ODE/PDE, co-simulation, higher-fidelity Digital Twin, detailed QAI emulation</w:t>
            </w:r>
          </w:p>
        </w:tc>
        <w:tc>
          <w:tcPr>
            <w:tcW w:type="dxa" w:w="2520"/>
            <w:vAlign w:val="center"/>
          </w:tcPr>
          <w:p>
            <w:pPr>
              <w:spacing w:after="0"/>
            </w:pPr>
            <w:r/>
            <w:r>
              <w:rPr>
                <w:b w:val="0"/>
              </w:rPr>
              <w:t>Hundreds to tens of candidates</w:t>
            </w:r>
          </w:p>
        </w:tc>
      </w:tr>
      <w:tr>
        <w:tc>
          <w:tcPr>
            <w:tcW w:type="dxa" w:w="2520"/>
            <w:vAlign w:val="center"/>
          </w:tcPr>
          <w:p>
            <w:pPr>
              <w:spacing w:after="0"/>
            </w:pPr>
            <w:r/>
            <w:r>
              <w:rPr>
                <w:b w:val="0"/>
              </w:rPr>
              <w:t>Level 3 — Evidence / Truth</w:t>
            </w:r>
          </w:p>
        </w:tc>
        <w:tc>
          <w:tcPr>
            <w:tcW w:type="dxa" w:w="2520"/>
            <w:vAlign w:val="center"/>
          </w:tcPr>
          <w:p>
            <w:pPr>
              <w:spacing w:after="0"/>
            </w:pPr>
            <w:r/>
            <w:r>
              <w:rPr>
                <w:b w:val="0"/>
              </w:rPr>
              <w:t>Establish higher-confidence evidence</w:t>
            </w:r>
          </w:p>
        </w:tc>
        <w:tc>
          <w:tcPr>
            <w:tcW w:type="dxa" w:w="2520"/>
            <w:vAlign w:val="center"/>
          </w:tcPr>
          <w:p>
            <w:pPr>
              <w:spacing w:after="0"/>
            </w:pPr>
            <w:r/>
            <w:r>
              <w:rPr>
                <w:b w:val="0"/>
              </w:rPr>
              <w:t>High-fidelity simulation, HIL, physical experiment, real QPU when justified</w:t>
            </w:r>
          </w:p>
        </w:tc>
        <w:tc>
          <w:tcPr>
            <w:tcW w:type="dxa" w:w="2520"/>
            <w:vAlign w:val="center"/>
          </w:tcPr>
          <w:p>
            <w:pPr>
              <w:spacing w:after="0"/>
            </w:pPr>
            <w:r/>
            <w:r>
              <w:rPr>
                <w:b w:val="0"/>
              </w:rPr>
              <w:t>Small selected candidate set</w:t>
            </w:r>
          </w:p>
        </w:tc>
      </w:tr>
    </w:tbl>
    <w:p>
      <w:r>
        <w:rPr>
          <w:b/>
        </w:rPr>
        <w:t xml:space="preserve">Operating principle: </w:t>
      </w:r>
      <w:r>
        <w:t>use cheap models to search; expensive models to validate; physical or quantum execution to establish the evidence that cannot be obtained otherwise.</w:t>
      </w:r>
    </w:p>
    <w:p>
      <w:pPr>
        <w:pStyle w:val="Heading1"/>
      </w:pPr>
      <w:r>
        <w:t>7. AI as a Design-Space Explorer</w:t>
      </w:r>
    </w:p>
    <w:p>
      <w:r>
        <w:t>The AI layer should not be limited to acting as a simulator. Its broader Factory role is to guide exploration of a large candidate space and choose where to spend additional simulation budget.</w:t>
      </w:r>
    </w:p>
    <w:p>
      <w:pPr>
        <w:pStyle w:val="NoSpacing"/>
        <w:spacing w:before="80" w:after="120"/>
        <w:ind w:left="360" w:right="144"/>
      </w:pPr>
      <w:r>
        <w:rPr>
          <w:rFonts w:ascii="Courier New" w:hAnsi="Courier New"/>
          <w:sz w:val="17"/>
        </w:rPr>
        <w:t>Generate → Filter → Simulate → Learn → Select next candidates → Simulate again → Converge</w:t>
      </w:r>
    </w:p>
    <w:p>
      <w:r>
        <w:t>Candidate-generation and search mechanisms can include parameter sweeps, Latin-hypercube or Sobol sampling, Bayesian optimisation, evolutionary search, surrogate-assisted optimisation, constraint programming, reinforcement learning, graph-based search and quantum-inspired methods. A quantum method such as Grover-style search should be used when the problem structure genuinely maps to the required oracle/search formulation.</w:t>
      </w:r>
    </w:p>
    <w:p>
      <w:pPr>
        <w:pStyle w:val="Heading1"/>
      </w:pPr>
      <w:r>
        <w:t>8. Simulation Broker: The Key Factory Service</w:t>
      </w:r>
    </w:p>
    <w:p>
      <w:r>
        <w:t>The proposed Simulation Broker becomes the abstraction between the Virtual CPS model and the available simulation engines. It selects an execution method using the problem structure, required fidelity, uncertainty, resource budget and evidence objective.</w:t>
      </w:r>
    </w:p>
    <w:p>
      <w:pPr>
        <w:pStyle w:val="NoSpacing"/>
        <w:spacing w:before="80" w:after="120"/>
        <w:ind w:left="360" w:right="144"/>
      </w:pPr>
      <w:r>
        <w:rPr>
          <w:rFonts w:ascii="Courier New" w:hAnsi="Courier New"/>
          <w:sz w:val="17"/>
        </w:rPr>
        <w:t>result = simulation_broker.evaluate(</w:t>
        <w:br/>
        <w:t xml:space="preserve">    model="farm_twin_001",</w:t>
        <w:br/>
        <w:t xml:space="preserve">    scenario="cold_weather_water_constraint",</w:t>
        <w:br/>
        <w:t xml:space="preserve">    candidate=candidate_042,</w:t>
        <w:br/>
        <w:t xml:space="preserve">    fidelity="medium",</w:t>
        <w:br/>
        <w:t xml:space="preserve">    objective="resource_efficiency",</w:t>
        <w:br/>
        <w:t xml:space="preserve">    constraints=constraints,</w:t>
        <w:br/>
        <w:t xml:space="preserve">    backend="auto"</w:t>
        <w:br/>
        <w:t>)</w:t>
      </w:r>
    </w:p>
    <w:p>
      <w:pPr>
        <w:pStyle w:val="Heading1"/>
      </w:pPr>
      <w:r>
        <w:t>9. Proposed QAI Factory Simulation Portfolio</w:t>
      </w:r>
    </w:p>
    <w:p>
      <w:pPr>
        <w:pStyle w:val="NoSpacing"/>
        <w:spacing w:before="80" w:after="120"/>
        <w:ind w:left="360" w:right="144"/>
      </w:pPr>
      <w:r>
        <w:rPr>
          <w:rFonts w:ascii="Courier New" w:hAnsi="Courier New"/>
          <w:sz w:val="17"/>
        </w:rPr>
        <w:t xml:space="preserve">                 QAI FACTORY</w:t>
        <w:br/>
        <w:t xml:space="preserve">                     │</w:t>
        <w:br/>
        <w:t xml:space="preserve">          ┌──────────┴───────────┐</w:t>
        <w:br/>
        <w:t xml:space="preserve">          │  Simulation Broker   │</w:t>
        <w:br/>
        <w:t xml:space="preserve">          └──────────┬───────────┘</w:t>
        <w:br/>
        <w:t xml:space="preserve">                     │</w:t>
        <w:br/>
        <w:t xml:space="preserve">       ┌─────────────┼─────────────┐</w:t>
        <w:br/>
        <w:t xml:space="preserve">       │             │             │</w:t>
        <w:br/>
        <w:t xml:space="preserve">       ▼             ▼             ▼</w:t>
        <w:br/>
        <w:t xml:space="preserve">   Classical        AI          QAI / Quantum</w:t>
        <w:br/>
        <w:t xml:space="preserve">   Engines         Engines          Engines</w:t>
        <w:br/>
        <w:t xml:space="preserve">       │             │               │</w:t>
        <w:br/>
        <w:t xml:space="preserve">  ODE | PDE     ML | RL | ABM   SV | MPS | PEPS</w:t>
        <w:br/>
        <w:t xml:space="preserve">  DES | HIL     Surrogates      TTN | MPO | TNC</w:t>
        <w:br/>
        <w:t xml:space="preserve">       │             │               │</w:t>
        <w:br/>
        <w:t xml:space="preserve">       └─────────────┼───────────────┘</w:t>
        <w:br/>
        <w:t xml:space="preserve">                     ▼</w:t>
        <w:br/>
        <w:t xml:space="preserve">             COMMON RESULT MODEL</w:t>
        <w:br/>
        <w:t xml:space="preserve">                     │</w:t>
        <w:br/>
        <w:t xml:space="preserve">                     ▼</w:t>
        <w:br/>
        <w:t xml:space="preserve">             DESIGN SPACE ENGINE</w:t>
        <w:br/>
        <w:t xml:space="preserve">                     │</w:t>
        <w:br/>
        <w:t xml:space="preserve">                     ▼</w:t>
        <w:br/>
        <w:t xml:space="preserve">              ADVANTAGE / VALUE GATE</w:t>
      </w:r>
    </w:p>
    <w:p>
      <w:pPr>
        <w:pStyle w:val="Heading1"/>
      </w:pPr>
      <w:r>
        <w:t>10. Suggested Simulation Fabric Capabilities</w:t>
      </w:r>
    </w:p>
    <w:p>
      <w:pPr>
        <w:pStyle w:val="ListBullet"/>
      </w:pPr>
      <w:r>
        <w:t>Model Registry</w:t>
      </w:r>
    </w:p>
    <w:p>
      <w:pPr>
        <w:pStyle w:val="ListBullet"/>
      </w:pPr>
      <w:r>
        <w:t>Simulation Registry</w:t>
      </w:r>
    </w:p>
    <w:p>
      <w:pPr>
        <w:pStyle w:val="ListBullet"/>
      </w:pPr>
      <w:r>
        <w:t>Scenario Registry</w:t>
      </w:r>
    </w:p>
    <w:p>
      <w:pPr>
        <w:pStyle w:val="ListBullet"/>
      </w:pPr>
      <w:r>
        <w:t>Solver Registry</w:t>
      </w:r>
    </w:p>
    <w:p>
      <w:pPr>
        <w:pStyle w:val="ListBullet"/>
      </w:pPr>
      <w:r>
        <w:t>Surrogate Registry</w:t>
      </w:r>
    </w:p>
    <w:p>
      <w:pPr>
        <w:pStyle w:val="ListBullet"/>
      </w:pPr>
      <w:r>
        <w:t>Experiment Manager</w:t>
      </w:r>
    </w:p>
    <w:p>
      <w:pPr>
        <w:pStyle w:val="ListBullet"/>
      </w:pPr>
      <w:r>
        <w:t>Design Space Manager</w:t>
      </w:r>
    </w:p>
    <w:p>
      <w:pPr>
        <w:pStyle w:val="ListBullet"/>
      </w:pPr>
      <w:r>
        <w:t>Simulation Broker</w:t>
      </w:r>
    </w:p>
    <w:p>
      <w:pPr>
        <w:pStyle w:val="ListBullet"/>
      </w:pPr>
      <w:r>
        <w:t>Resource Manager</w:t>
      </w:r>
    </w:p>
    <w:p>
      <w:pPr>
        <w:pStyle w:val="ListBullet"/>
      </w:pPr>
      <w:r>
        <w:t>Evidence / Provenance</w:t>
      </w:r>
    </w:p>
    <w:p>
      <w:pPr>
        <w:pStyle w:val="ListBullet"/>
      </w:pPr>
      <w:r>
        <w:t>Validation Manager</w:t>
      </w:r>
    </w:p>
    <w:p>
      <w:r>
        <w:t>Specialist Factory capabilities can then expose backends for Classical, AI, QAI, Quantum, CPS, Digital Twin, Optimisation and HPC execution without creating disconnected technology-specific workflows.</w:t>
      </w:r>
    </w:p>
    <w:p>
      <w:pPr>
        <w:pStyle w:val="Heading1"/>
      </w:pPr>
      <w:r>
        <w:t>11. Connection to the Existing Phase 3–12 Notebook</w:t>
      </w:r>
    </w:p>
    <w:p>
      <w:r>
        <w:t>The completed Digital Farm Phase 3–12 client-delivery notebook already provides much of the orchestration pattern required for the Simulation Factory: workflow definition, asset registration, experiment parameters, tasks, connections, pre-validation, human approval, execution, results, comparative analysis, evidence and provenance.</w:t>
      </w:r>
    </w:p>
    <w:p>
      <w:pPr>
        <w:pStyle w:val="NoSpacing"/>
        <w:spacing w:before="80" w:after="120"/>
        <w:ind w:left="360" w:right="144"/>
      </w:pPr>
      <w:r>
        <w:rPr>
          <w:rFonts w:ascii="Courier New" w:hAnsi="Courier New"/>
          <w:sz w:val="17"/>
        </w:rPr>
        <w:t>Phase 3  → Problem + Workflow Definition</w:t>
        <w:br/>
        <w:t>Phase 4  → Open-loop simulation</w:t>
        <w:br/>
        <w:t>Phase 5  → Closed-loop CPS simulation</w:t>
        <w:br/>
        <w:t>Phase 6  → QAI / value evaluation</w:t>
        <w:br/>
        <w:t>Phase 7  → Model validation</w:t>
        <w:br/>
        <w:t>Phase 8  → Digital Twin production transition</w:t>
        <w:br/>
        <w:t>Phase 9  → QAI Lab integration</w:t>
        <w:br/>
        <w:t>Phase 10 → Fabric &amp; slice integration</w:t>
        <w:br/>
        <w:t>Phase 11 → Benchmark &amp; differentiation</w:t>
        <w:br/>
        <w:t>Phase 12 → Client delivery / post-pilot readiness</w:t>
      </w:r>
    </w:p>
    <w:p>
      <w:r>
        <w:t>This suggests the notebook can evolve into an experiment-orchestration surface for the Factory. It should not be treated as the Factory runtime itself; rather, it expresses and records experiments against the Factory services and simulation backends.</w:t>
      </w:r>
    </w:p>
    <w:p>
      <w:pPr>
        <w:pStyle w:val="Heading1"/>
      </w:pPr>
      <w:r>
        <w:t>12. Common Simulation Contract and Result Model</w:t>
      </w:r>
    </w:p>
    <w:p>
      <w:r>
        <w:t>To make the portfolio interchangeable, each backend should accept a common experiment contract and return a common result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
              <w:rPr>
                <w:b/>
              </w:rPr>
              <w:t>Input contract</w:t>
            </w:r>
          </w:p>
        </w:tc>
        <w:tc>
          <w:tcPr>
            <w:tcW w:type="dxa" w:w="5040"/>
            <w:vAlign w:val="center"/>
          </w:tcPr>
          <w:p>
            <w:pPr>
              <w:spacing w:after="0"/>
            </w:pPr>
            <w:r/>
            <w:r>
              <w:rPr>
                <w:b/>
              </w:rPr>
              <w:t>Common result model</w:t>
            </w:r>
          </w:p>
        </w:tc>
      </w:tr>
      <w:tr>
        <w:tc>
          <w:tcPr>
            <w:tcW w:type="dxa" w:w="5040"/>
            <w:vAlign w:val="center"/>
          </w:tcPr>
          <w:p>
            <w:pPr>
              <w:spacing w:after="0"/>
            </w:pPr>
            <w:r/>
            <w:r>
              <w:rPr>
                <w:b w:val="0"/>
              </w:rPr>
              <w:t>Model / asset IDs</w:t>
            </w:r>
          </w:p>
        </w:tc>
        <w:tc>
          <w:tcPr>
            <w:tcW w:type="dxa" w:w="5040"/>
            <w:vAlign w:val="center"/>
          </w:tcPr>
          <w:p>
            <w:pPr>
              <w:spacing w:after="0"/>
            </w:pPr>
            <w:r/>
            <w:r>
              <w:rPr>
                <w:b w:val="0"/>
              </w:rPr>
              <w:t>Result ID and execution ID</w:t>
            </w:r>
          </w:p>
        </w:tc>
      </w:tr>
      <w:tr>
        <w:tc>
          <w:tcPr>
            <w:tcW w:type="dxa" w:w="5040"/>
            <w:vAlign w:val="center"/>
          </w:tcPr>
          <w:p>
            <w:pPr>
              <w:spacing w:after="0"/>
            </w:pPr>
            <w:r/>
            <w:r>
              <w:rPr>
                <w:b w:val="0"/>
              </w:rPr>
              <w:t>Scenario / state</w:t>
            </w:r>
          </w:p>
        </w:tc>
        <w:tc>
          <w:tcPr>
            <w:tcW w:type="dxa" w:w="5040"/>
            <w:vAlign w:val="center"/>
          </w:tcPr>
          <w:p>
            <w:pPr>
              <w:spacing w:after="0"/>
            </w:pPr>
            <w:r/>
            <w:r>
              <w:rPr>
                <w:b w:val="0"/>
              </w:rPr>
              <w:t>Outcome variables</w:t>
            </w:r>
          </w:p>
        </w:tc>
      </w:tr>
      <w:tr>
        <w:tc>
          <w:tcPr>
            <w:tcW w:type="dxa" w:w="5040"/>
            <w:vAlign w:val="center"/>
          </w:tcPr>
          <w:p>
            <w:pPr>
              <w:spacing w:after="0"/>
            </w:pPr>
            <w:r/>
            <w:r>
              <w:rPr>
                <w:b w:val="0"/>
              </w:rPr>
              <w:t>Design variables</w:t>
            </w:r>
          </w:p>
        </w:tc>
        <w:tc>
          <w:tcPr>
            <w:tcW w:type="dxa" w:w="5040"/>
            <w:vAlign w:val="center"/>
          </w:tcPr>
          <w:p>
            <w:pPr>
              <w:spacing w:after="0"/>
            </w:pPr>
            <w:r/>
            <w:r>
              <w:rPr>
                <w:b w:val="0"/>
              </w:rPr>
              <w:t>Constraint status / feasibility</w:t>
            </w:r>
          </w:p>
        </w:tc>
      </w:tr>
      <w:tr>
        <w:tc>
          <w:tcPr>
            <w:tcW w:type="dxa" w:w="5040"/>
            <w:vAlign w:val="center"/>
          </w:tcPr>
          <w:p>
            <w:pPr>
              <w:spacing w:after="0"/>
            </w:pPr>
            <w:r/>
            <w:r>
              <w:rPr>
                <w:b w:val="0"/>
              </w:rPr>
              <w:t>Objectives</w:t>
            </w:r>
          </w:p>
        </w:tc>
        <w:tc>
          <w:tcPr>
            <w:tcW w:type="dxa" w:w="5040"/>
            <w:vAlign w:val="center"/>
          </w:tcPr>
          <w:p>
            <w:pPr>
              <w:spacing w:after="0"/>
            </w:pPr>
            <w:r/>
            <w:r>
              <w:rPr>
                <w:b w:val="0"/>
              </w:rPr>
              <w:t>Objective values</w:t>
            </w:r>
          </w:p>
        </w:tc>
      </w:tr>
      <w:tr>
        <w:tc>
          <w:tcPr>
            <w:tcW w:type="dxa" w:w="5040"/>
            <w:vAlign w:val="center"/>
          </w:tcPr>
          <w:p>
            <w:pPr>
              <w:spacing w:after="0"/>
            </w:pPr>
            <w:r/>
            <w:r>
              <w:rPr>
                <w:b w:val="0"/>
              </w:rPr>
              <w:t>Constraints</w:t>
            </w:r>
          </w:p>
        </w:tc>
        <w:tc>
          <w:tcPr>
            <w:tcW w:type="dxa" w:w="5040"/>
            <w:vAlign w:val="center"/>
          </w:tcPr>
          <w:p>
            <w:pPr>
              <w:spacing w:after="0"/>
            </w:pPr>
            <w:r/>
            <w:r>
              <w:rPr>
                <w:b w:val="0"/>
              </w:rPr>
              <w:t>Runtime / memory / resource metrics</w:t>
            </w:r>
          </w:p>
        </w:tc>
      </w:tr>
      <w:tr>
        <w:tc>
          <w:tcPr>
            <w:tcW w:type="dxa" w:w="5040"/>
            <w:vAlign w:val="center"/>
          </w:tcPr>
          <w:p>
            <w:pPr>
              <w:spacing w:after="0"/>
            </w:pPr>
            <w:r/>
            <w:r>
              <w:rPr>
                <w:b w:val="0"/>
              </w:rPr>
              <w:t>Fidelity level</w:t>
            </w:r>
          </w:p>
        </w:tc>
        <w:tc>
          <w:tcPr>
            <w:tcW w:type="dxa" w:w="5040"/>
            <w:vAlign w:val="center"/>
          </w:tcPr>
          <w:p>
            <w:pPr>
              <w:spacing w:after="0"/>
            </w:pPr>
            <w:r/>
            <w:r>
              <w:rPr>
                <w:b w:val="0"/>
              </w:rPr>
              <w:t>Solution quality / error measures</w:t>
            </w:r>
          </w:p>
        </w:tc>
      </w:tr>
      <w:tr>
        <w:tc>
          <w:tcPr>
            <w:tcW w:type="dxa" w:w="5040"/>
            <w:vAlign w:val="center"/>
          </w:tcPr>
          <w:p>
            <w:pPr>
              <w:spacing w:after="0"/>
            </w:pPr>
            <w:r/>
            <w:r>
              <w:rPr>
                <w:b w:val="0"/>
              </w:rPr>
              <w:t>Random seed / reproducibility data</w:t>
            </w:r>
          </w:p>
        </w:tc>
        <w:tc>
          <w:tcPr>
            <w:tcW w:type="dxa" w:w="5040"/>
            <w:vAlign w:val="center"/>
          </w:tcPr>
          <w:p>
            <w:pPr>
              <w:spacing w:after="0"/>
            </w:pPr>
            <w:r/>
            <w:r>
              <w:rPr>
                <w:b w:val="0"/>
              </w:rPr>
              <w:t>Scalability observations</w:t>
            </w:r>
          </w:p>
        </w:tc>
      </w:tr>
      <w:tr>
        <w:tc>
          <w:tcPr>
            <w:tcW w:type="dxa" w:w="5040"/>
            <w:vAlign w:val="center"/>
          </w:tcPr>
          <w:p>
            <w:pPr>
              <w:spacing w:after="0"/>
            </w:pPr>
            <w:r/>
            <w:r>
              <w:rPr>
                <w:b w:val="0"/>
              </w:rPr>
              <w:t>Backend / method</w:t>
            </w:r>
          </w:p>
        </w:tc>
        <w:tc>
          <w:tcPr>
            <w:tcW w:type="dxa" w:w="5040"/>
            <w:vAlign w:val="center"/>
          </w:tcPr>
          <w:p>
            <w:pPr>
              <w:spacing w:after="0"/>
            </w:pPr>
            <w:r/>
            <w:r>
              <w:rPr>
                <w:b w:val="0"/>
              </w:rPr>
              <w:t>Evidence and provenance</w:t>
            </w:r>
          </w:p>
        </w:tc>
      </w:tr>
      <w:tr>
        <w:tc>
          <w:tcPr>
            <w:tcW w:type="dxa" w:w="5040"/>
            <w:vAlign w:val="center"/>
          </w:tcPr>
          <w:p>
            <w:pPr>
              <w:spacing w:after="0"/>
            </w:pPr>
            <w:r/>
            <w:r>
              <w:rPr>
                <w:b w:val="0"/>
              </w:rPr>
              <w:t>Budget and policy controls</w:t>
            </w:r>
          </w:p>
        </w:tc>
        <w:tc>
          <w:tcPr>
            <w:tcW w:type="dxa" w:w="5040"/>
            <w:vAlign w:val="center"/>
          </w:tcPr>
          <w:p>
            <w:pPr>
              <w:spacing w:after="0"/>
            </w:pPr>
            <w:r/>
            <w:r>
              <w:rPr>
                <w:b w:val="0"/>
              </w:rPr>
              <w:t>Limitations and claims status</w:t>
            </w:r>
          </w:p>
        </w:tc>
      </w:tr>
    </w:tbl>
    <w:p>
      <w:pPr>
        <w:pStyle w:val="Heading1"/>
      </w:pPr>
      <w:r>
        <w:t>13. Core Metrics for Cross-Method Comparison</w:t>
      </w:r>
    </w:p>
    <w:p>
      <w:pPr>
        <w:pStyle w:val="ListBullet"/>
      </w:pPr>
      <w:r>
        <w:t>Problem complexity / size</w:t>
      </w:r>
    </w:p>
    <w:p>
      <w:pPr>
        <w:pStyle w:val="ListBullet"/>
      </w:pPr>
      <w:r>
        <w:t>Representation and scope reduction</w:t>
      </w:r>
    </w:p>
    <w:p>
      <w:pPr>
        <w:pStyle w:val="ListBullet"/>
      </w:pPr>
      <w:r>
        <w:t>Transformation cost and approximation error</w:t>
      </w:r>
    </w:p>
    <w:p>
      <w:pPr>
        <w:pStyle w:val="ListBullet"/>
      </w:pPr>
      <w:r>
        <w:t>Classical runtime and memory</w:t>
      </w:r>
    </w:p>
    <w:p>
      <w:pPr>
        <w:pStyle w:val="ListBullet"/>
      </w:pPr>
      <w:r>
        <w:t>AI / hybrid runtime and resource use</w:t>
      </w:r>
    </w:p>
    <w:p>
      <w:pPr>
        <w:pStyle w:val="ListBullet"/>
      </w:pPr>
      <w:r>
        <w:t>Quantum simulation runtime and memory</w:t>
      </w:r>
    </w:p>
    <w:p>
      <w:pPr>
        <w:pStyle w:val="ListBullet"/>
      </w:pPr>
      <w:r>
        <w:t>Scalability as problem size grows</w:t>
      </w:r>
    </w:p>
    <w:p>
      <w:pPr>
        <w:pStyle w:val="ListBullet"/>
      </w:pPr>
      <w:r>
        <w:t>Solution quality / objective value</w:t>
      </w:r>
    </w:p>
    <w:p>
      <w:pPr>
        <w:pStyle w:val="ListBullet"/>
      </w:pPr>
      <w:r>
        <w:t>Operational fit and constraint satisfaction</w:t>
      </w:r>
    </w:p>
    <w:p>
      <w:pPr>
        <w:pStyle w:val="ListBullet"/>
      </w:pPr>
      <w:r>
        <w:t>Economic and resource implications where measurable</w:t>
      </w:r>
    </w:p>
    <w:p>
      <w:pPr>
        <w:pStyle w:val="ListBullet"/>
      </w:pPr>
      <w:r>
        <w:t>Evidence completeness and reproducibility</w:t>
      </w:r>
    </w:p>
    <w:p>
      <w:r>
        <w:t>These measures enable a problem-specific comparison across Classical, AI, Hybrid, QAI and Quantum candidates without assuming that one technology is universally preferable.</w:t>
      </w:r>
    </w:p>
    <w:p>
      <w:pPr>
        <w:pStyle w:val="Heading1"/>
      </w:pPr>
      <w:r>
        <w:t>14. Example: Digital Farm Water-Energy-Transport Trade-off</w:t>
      </w:r>
    </w:p>
    <w:p>
      <w:pPr>
        <w:pStyle w:val="NoSpacing"/>
        <w:spacing w:before="80" w:after="120"/>
        <w:ind w:left="360" w:right="144"/>
      </w:pPr>
      <w:r>
        <w:rPr>
          <w:rFonts w:ascii="Courier New" w:hAnsi="Courier New"/>
          <w:sz w:val="17"/>
        </w:rPr>
        <w:t>Large CPS problem</w:t>
        <w:br/>
        <w:t xml:space="preserve">  actors + fields + irrigation + water + energy + transport + weather</w:t>
        <w:br/>
        <w:t xml:space="preserve">                 │</w:t>
        <w:br/>
        <w:t xml:space="preserve">                 ▼</w:t>
        <w:br/>
        <w:t>Virtual CPS model</w:t>
        <w:br/>
        <w:t xml:space="preserve">                 │</w:t>
        <w:br/>
        <w:t xml:space="preserve">                 ├── Classical optimisation baseline</w:t>
        <w:br/>
        <w:t xml:space="preserve">                 ├── AI surrogate / predictor</w:t>
        <w:br/>
        <w:t xml:space="preserve">                 ├── Agent-based / discrete-event simulation</w:t>
        <w:br/>
        <w:t xml:space="preserve">                 ├── QAI / manifold / feature transformation</w:t>
        <w:br/>
        <w:t xml:space="preserve">                 ├── Quantum-inspired optimisation</w:t>
        <w:br/>
        <w:t xml:space="preserve">                 └── Quantum circuit candidate + classical emulation</w:t>
        <w:br/>
        <w:t xml:space="preserve">                 │</w:t>
        <w:br/>
        <w:t xml:space="preserve">                 ▼</w:t>
        <w:br/>
        <w:t>Design-space exploration</w:t>
        <w:br/>
        <w:t xml:space="preserve">                 │</w:t>
        <w:br/>
        <w:t xml:space="preserve">                 ▼</w:t>
        <w:br/>
        <w:t>Candidate shortlist</w:t>
        <w:br/>
        <w:t xml:space="preserve">                 │</w:t>
        <w:br/>
        <w:t xml:space="preserve">                 ▼</w:t>
        <w:br/>
        <w:t>Higher-fidelity simulation / validation</w:t>
        <w:br/>
        <w:t xml:space="preserve">                 │</w:t>
        <w:br/>
        <w:t xml:space="preserve">                 ▼</w:t>
        <w:br/>
        <w:t>Evidence + decision support</w:t>
      </w:r>
    </w:p>
    <w:p>
      <w:r>
        <w:t>The client therefore gets one coherent experiment path across multiple technologies, while the Factory retains the ability to change or add simulation backends without redefining the client problem from scratch.</w:t>
      </w:r>
    </w:p>
    <w:p>
      <w:pPr>
        <w:pStyle w:val="Heading1"/>
      </w:pPr>
      <w:r>
        <w:t>15. Guardrails and Claims Discipline</w:t>
      </w:r>
    </w:p>
    <w:p>
      <w:pPr>
        <w:pStyle w:val="ListBullet"/>
      </w:pPr>
      <w:r>
        <w:t>Do not claim quantum advantage from simulation alone; measure it for a defined problem and evidence condition.</w:t>
      </w:r>
    </w:p>
    <w:p>
      <w:pPr>
        <w:pStyle w:val="ListBullet"/>
      </w:pPr>
      <w:r>
        <w:t>Do not assume Tensor Networks scale efficiently for arbitrary circuits; their usefulness depends on structure, entanglement and approximation/truncation choices.</w:t>
      </w:r>
    </w:p>
    <w:p>
      <w:pPr>
        <w:pStyle w:val="ListBullet"/>
      </w:pPr>
      <w:r>
        <w:t>Do not claim that dimensionality reduction, manifold learning, quaternions or nonlinear transformations universally reduce computational complexity; measure representation cost, fidelity and downstream resource use.</w:t>
      </w:r>
    </w:p>
    <w:p>
      <w:pPr>
        <w:pStyle w:val="ListBullet"/>
      </w:pPr>
      <w:r>
        <w:t>Keep synthetic / controlled data clearly separated from real field evidence.</w:t>
      </w:r>
    </w:p>
    <w:p>
      <w:pPr>
        <w:pStyle w:val="ListBullet"/>
      </w:pPr>
      <w:r>
        <w:t>Maintain provenance for every model transformation, backend choice, simulation run and result.</w:t>
      </w:r>
    </w:p>
    <w:p>
      <w:pPr>
        <w:pStyle w:val="ListBullet"/>
      </w:pPr>
      <w:r>
        <w:t>Keep human approval at the appropriate boundary for consequential or physical actions.</w:t>
      </w:r>
    </w:p>
    <w:p>
      <w:pPr>
        <w:pStyle w:val="Heading1"/>
      </w:pPr>
      <w:r>
        <w:t>16. Recommended Next Architecture Work</w:t>
      </w:r>
    </w:p>
    <w:p>
      <w:pPr>
        <w:pStyle w:val="ListNumber"/>
      </w:pPr>
      <w:r>
        <w:t>Define the Virtual CPS Element schema as the common problem representation.</w:t>
      </w:r>
    </w:p>
    <w:p>
      <w:pPr>
        <w:pStyle w:val="ListNumber"/>
      </w:pPr>
      <w:r>
        <w:t>Define the Simulation Contract and Common Result Model.</w:t>
      </w:r>
    </w:p>
    <w:p>
      <w:pPr>
        <w:pStyle w:val="ListNumber"/>
      </w:pPr>
      <w:r>
        <w:t>Define the Simulation Broker decision logic and backend capability registry.</w:t>
      </w:r>
    </w:p>
    <w:p>
      <w:pPr>
        <w:pStyle w:val="ListNumber"/>
      </w:pPr>
      <w:r>
        <w:t>Define the Design-Space Explorer and multi-fidelity execution loop.</w:t>
      </w:r>
    </w:p>
    <w:p>
      <w:pPr>
        <w:pStyle w:val="ListNumber"/>
      </w:pPr>
      <w:r>
        <w:t>Implement a small backend portfolio: classical baseline + surrogate/AI + one quantum circuit simulator + one tensor-network backend.</w:t>
      </w:r>
    </w:p>
    <w:p>
      <w:pPr>
        <w:pStyle w:val="ListNumber"/>
      </w:pPr>
      <w:r>
        <w:t>Connect the result/provenance model to the existing Phase 3–12 experiment package.</w:t>
      </w:r>
    </w:p>
    <w:p>
      <w:pPr>
        <w:pStyle w:val="ListNumber"/>
      </w:pPr>
      <w:r>
        <w:t>Use the Digital Farm as the first reference implementation before generalising to other domains.</w:t>
      </w:r>
    </w:p>
    <w:p>
      <w:pPr>
        <w:pStyle w:val="Heading1"/>
      </w:pPr>
      <w:r>
        <w:t>17. Related References and Links</w:t>
      </w:r>
    </w:p>
    <w:p>
      <w:r>
        <w:rPr>
          <w:b/>
        </w:rPr>
        <w:t>The Grand Challenge of Quantum Applications — arXiv</w:t>
      </w:r>
    </w:p>
    <w:p>
      <w:pPr>
        <w:pStyle w:val="ReferenceNote"/>
      </w:pPr>
      <w:hyperlink r:id="rId11">
        <w:r>
          <w:rPr>
            <w:color w:val="0563C1"/>
            <w:u w:val="single"/>
          </w:rPr>
          <w:t>https://arxiv.org/pdf/2511.09124</w:t>
        </w:r>
      </w:hyperlink>
    </w:p>
    <w:p>
      <w:r>
        <w:t>Quantum applications, problem instances, advantage, resource estimation and deployment.</w:t>
      </w:r>
    </w:p>
    <w:p>
      <w:r>
        <w:rPr>
          <w:b/>
        </w:rPr>
        <w:t>Quimb — Exploring circuit sampling with various methods</w:t>
      </w:r>
    </w:p>
    <w:p>
      <w:pPr>
        <w:pStyle w:val="ReferenceNote"/>
      </w:pPr>
      <w:hyperlink r:id="rId12">
        <w:r>
          <w:rPr>
            <w:color w:val="0563C1"/>
            <w:u w:val="single"/>
          </w:rPr>
          <w:t>https://quimb.readthedocs.io/en/latest/examples/ex_tn_circuit_sample_explore.html</w:t>
        </w:r>
      </w:hyperlink>
    </w:p>
    <w:p>
      <w:r>
        <w:t>Examples of different circuit simulation / tensor-network methods, including MPS and PEPS workflows.</w:t>
      </w:r>
    </w:p>
    <w:p>
      <w:r>
        <w:rPr>
          <w:b/>
        </w:rPr>
        <w:t>Simulating quantum circuits with tensor networks — ICFO PDF</w:t>
      </w:r>
    </w:p>
    <w:p>
      <w:pPr>
        <w:pStyle w:val="ReferenceNote"/>
      </w:pPr>
      <w:hyperlink r:id="rId13">
        <w:r>
          <w:rPr>
            <w:color w:val="0563C1"/>
            <w:u w:val="single"/>
          </w:rPr>
          <w:t>https://www.icfo.eu/download-file/files/event_documents/30032023132546000000.pdf</w:t>
        </w:r>
      </w:hyperlink>
    </w:p>
    <w:p>
      <w:r>
        <w:t>Tensor-network perspective on classical simulation of quantum circuits.</w:t>
      </w:r>
    </w:p>
    <w:p>
      <w:r>
        <w:rPr>
          <w:b/>
        </w:rPr>
        <w:t>Efficient Classical Simulation Of Quantum Circuits — Quantum Zeitgeist</w:t>
      </w:r>
    </w:p>
    <w:p>
      <w:pPr>
        <w:pStyle w:val="ReferenceNote"/>
      </w:pPr>
      <w:hyperlink r:id="rId14">
        <w:r>
          <w:rPr>
            <w:color w:val="0563C1"/>
            <w:u w:val="single"/>
          </w:rPr>
          <w:t>https://quantumzeitgeist.com/efficient-classical-simulation-of-quantum-circuits-using-peps-for-benchmarking/</w:t>
        </w:r>
      </w:hyperlink>
    </w:p>
    <w:p>
      <w:r>
        <w:t>PEPS-related discussion and benchmarking context.</w:t>
      </w:r>
    </w:p>
    <w:p>
      <w:r>
        <w:rPr>
          <w:b/>
        </w:rPr>
        <w:t>DARPA — Symbiotic Design for Cyber-Physical Systems</w:t>
      </w:r>
    </w:p>
    <w:p>
      <w:pPr>
        <w:pStyle w:val="ReferenceNote"/>
      </w:pPr>
      <w:hyperlink r:id="rId15">
        <w:r>
          <w:rPr>
            <w:color w:val="0563C1"/>
            <w:u w:val="single"/>
          </w:rPr>
          <w:t>https://www.darpa.mil/research/programs/symbiotic-design-cyber-physical-systems</w:t>
        </w:r>
      </w:hyperlink>
    </w:p>
    <w:p>
      <w:r>
        <w:t>AI-assisted CPS design-space construction, analysis, exploration and convergence concepts.</w:t>
      </w:r>
    </w:p>
    <w:p>
      <w:r>
        <w:rPr>
          <w:b/>
        </w:rPr>
        <w:t>DARPA — Symbiotic Design for Cyber-Physical Systems news / program context</w:t>
      </w:r>
    </w:p>
    <w:p>
      <w:pPr>
        <w:pStyle w:val="ReferenceNote"/>
      </w:pPr>
      <w:hyperlink r:id="rId16">
        <w:r>
          <w:rPr>
            <w:color w:val="0563C1"/>
            <w:u w:val="single"/>
          </w:rPr>
          <w:t>https://www.darpa.mil/news/2019/cyber-physical-system-design</w:t>
        </w:r>
      </w:hyperlink>
    </w:p>
    <w:p>
      <w:r>
        <w:t>Program background on AI tools, multidomain design spaces and simulation-based evaluation.</w:t>
      </w:r>
    </w:p>
    <w:p>
      <w:r>
        <w:rPr>
          <w:b/>
        </w:rPr>
        <w:t>APS / Physical Review Research — Tensor-network quantum circuit simulation research</w:t>
      </w:r>
    </w:p>
    <w:p>
      <w:pPr>
        <w:pStyle w:val="ReferenceNote"/>
      </w:pPr>
      <w:hyperlink r:id="rId17">
        <w:r>
          <w:rPr>
            <w:color w:val="0563C1"/>
            <w:u w:val="single"/>
          </w:rPr>
          <w:t>https://journals.aps.org/prresearch/abstract/10.1103/PhysRevResearch.6.033325</w:t>
        </w:r>
      </w:hyperlink>
    </w:p>
    <w:p>
      <w:r>
        <w:t>Research context for tensor-network simulation of quantum algorithms under limited-entanglement conditions.</w:t>
      </w:r>
    </w:p>
    <w:p>
      <w:r>
        <w:rPr>
          <w:b/>
        </w:rPr>
        <w:t>Google Research — The Grand Challenge of Quantum Applications</w:t>
      </w:r>
    </w:p>
    <w:p>
      <w:pPr>
        <w:pStyle w:val="ReferenceNote"/>
      </w:pPr>
      <w:hyperlink r:id="rId18">
        <w:r>
          <w:rPr>
            <w:color w:val="0563C1"/>
            <w:u w:val="single"/>
          </w:rPr>
          <w:t>https://research.google/pubs/the-grand-challenge-of-quantum-applications/</w:t>
        </w:r>
      </w:hyperlink>
    </w:p>
    <w:p>
      <w:r>
        <w:t>Research overview and supporting context for quantum application challenges.</w:t>
      </w:r>
    </w:p>
    <w:p>
      <w:pPr>
        <w:pStyle w:val="Heading1"/>
      </w:pPr>
      <w:r>
        <w:t>18. Source and Usage Note</w:t>
      </w:r>
    </w:p>
    <w:p>
      <w:r>
        <w:t>This document is an offline architecture reference derived from the September 2026 discussion about QAI Factory simulation, Virtual CPS elements, tensor-network quantum simulation, AI-driven design-space exploration, and the existing Digital Farm Phase 3–12 experiment workflow. It is intended as a working design reference, not as a claim that all listed simulation methods have already been implemented in the QAI Factory.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Offline reference | Bhadale IT / QAI Factory | 17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QAI Factory — Virtual CPS Simulation &amp; Design-Space Exploration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Note">
    <w:name w:val="Reference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511.09124" TargetMode="External"/><Relationship Id="rId12" Type="http://schemas.openxmlformats.org/officeDocument/2006/relationships/hyperlink" Target="https://quimb.readthedocs.io/en/latest/examples/ex_tn_circuit_sample_explore.html" TargetMode="External"/><Relationship Id="rId13" Type="http://schemas.openxmlformats.org/officeDocument/2006/relationships/hyperlink" Target="https://www.icfo.eu/download-file/files/event_documents/30032023132546000000.pdf" TargetMode="External"/><Relationship Id="rId14" Type="http://schemas.openxmlformats.org/officeDocument/2006/relationships/hyperlink" Target="https://quantumzeitgeist.com/efficient-classical-simulation-of-quantum-circuits-using-peps-for-benchmarking/" TargetMode="External"/><Relationship Id="rId15" Type="http://schemas.openxmlformats.org/officeDocument/2006/relationships/hyperlink" Target="https://www.darpa.mil/research/programs/symbiotic-design-cyber-physical-systems" TargetMode="External"/><Relationship Id="rId16" Type="http://schemas.openxmlformats.org/officeDocument/2006/relationships/hyperlink" Target="https://www.darpa.mil/news/2019/cyber-physical-system-design" TargetMode="External"/><Relationship Id="rId17" Type="http://schemas.openxmlformats.org/officeDocument/2006/relationships/hyperlink" Target="https://journals.aps.org/prresearch/abstract/10.1103/PhysRevResearch.6.033325" TargetMode="External"/><Relationship Id="rId18" Type="http://schemas.openxmlformats.org/officeDocument/2006/relationships/hyperlink" Target="https://research.google/pubs/the-grand-challenge-of-quantum-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QAI Factory — Virtual CPS Simulation and Design-Space Exploration</dc:title>
  <dc:subject>Offline reference architecture for multi-method CPS, AI, QAI and quantum simulation</dc:subject>
  <dc:creator>Vijay Mohire / Bhadale IT</dc:creator>
  <cp:keywords>QAI Factory, Digital CPS, Digital Twin, simulation, tensor networks, AI, quantum computing, design-space exploration</cp:keywords>
  <dc:description>Working architecture reference; verify implementation-specific claims before publication.</dc:description>
  <cp:lastModifiedBy/>
  <cp:revision>1</cp:revision>
  <dcterms:created xsi:type="dcterms:W3CDTF">2013-12-23T23:15:00Z</dcterms:created>
  <dcterms:modified xsi:type="dcterms:W3CDTF">2013-12-23T23:15:00Z</dcterms:modified>
  <cp:category/>
</cp:coreProperties>
</file>