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QAI Post-Pilot Commercial Strategy</w:t>
        <w:br/>
        <w:t>General Framework + General Factory</w:t>
      </w:r>
    </w:p>
    <w:p>
      <w:pPr>
        <w:jc w:val="center"/>
      </w:pPr>
      <w:r>
        <w:rPr>
          <w:i/>
        </w:rPr>
        <w:t>Discussion Summary — Ready-to-Use Platform and Rapid QAI Product Development</w:t>
      </w:r>
    </w:p>
    <w:p>
      <w:pPr>
        <w:pStyle w:val="Heading1"/>
      </w:pPr>
      <w:r>
        <w:t>1. Strategic Direction</w:t>
      </w:r>
    </w:p>
    <w:p>
      <w:r>
        <w:t>The post-pilot strategy is to commercialize what is already available rather than overcommit to a complete proprietary QAI hardware or infrastructure stack. The immediate offer is a working General Framework and General Factory capable of supporting rapid QAI experimentation, modernization and product development.</w:t>
      </w:r>
    </w:p>
    <w:p>
      <w:pPr>
        <w:pStyle w:val="Heading1"/>
      </w:pPr>
      <w:r>
        <w:t>2. Current Commercial Offer</w:t>
      </w:r>
    </w:p>
    <w:p>
      <w:r>
        <w:t>The current offering is a ready engineering foundation for QAI experimentation and product development.</w:t>
        <w:br/>
        <w:br/>
        <w:t>GENERAL FRAMEWORK</w:t>
        <w:br/>
        <w:t>Architecture / WHAT</w:t>
        <w:br/>
        <w:t xml:space="preserve">        ↓</w:t>
        <w:br/>
        <w:t>GENERAL FACTORY</w:t>
        <w:br/>
        <w:t>Implementation / HOW</w:t>
        <w:br/>
        <w:t xml:space="preserve">        ↓</w:t>
        <w:br/>
        <w:t>┌──────────────────────┬──────────────────────┐</w:t>
        <w:br/>
        <w:t>Virtual CPS Environment       QAI Lab</w:t>
        <w:br/>
        <w:t xml:space="preserve">                              Experiment Notebook</w:t>
        <w:br/>
        <w:t xml:space="preserve">                              ~12K lines of pilot code</w:t>
        <w:br/>
        <w:t xml:space="preserve">        └──────────────┬──────────────────────┘</w:t>
        <w:br/>
        <w:t xml:space="preserve">                       ↓</w:t>
        <w:br/>
        <w:t xml:space="preserve">             RAPID QAI EXPERIMENTATION</w:t>
        <w:br/>
        <w:t xml:space="preserve">                       ↓</w:t>
        <w:br/>
        <w:t xml:space="preserve">                 CLIENT PROBLEM</w:t>
        <w:br/>
        <w:t xml:space="preserve">                 /            \</w:t>
        <w:br/>
        <w:t xml:space="preserve">        Modernization      New QAI Product</w:t>
        <w:br/>
        <w:t xml:space="preserve">                 \            /</w:t>
        <w:br/>
        <w:t xml:space="preserve">                  CLIENT DEVELOPMENT</w:t>
      </w:r>
    </w:p>
    <w:p>
      <w:pPr>
        <w:pStyle w:val="Heading1"/>
      </w:pPr>
      <w:r>
        <w:t>3. What Can Be Offered Today</w:t>
      </w:r>
    </w:p>
    <w:p>
      <w:r>
        <w:t>• General Framework — reusable architecture and engineering definitions.</w:t>
        <w:br/>
        <w:t>• General Factory — mechanisms for instantiation, experimentation and execution.</w:t>
        <w:br/>
        <w:t>• Virtual CPS Environment — a virtual environment for modelling and experimentation before physical infrastructure is required.</w:t>
        <w:br/>
        <w:t>• QAI Lab — a working experimentation environment.</w:t>
        <w:br/>
        <w:t>• Pilot-ready experiment notebook — an existing approximately 12K-line implementation providing a concrete starting point.</w:t>
        <w:br/>
        <w:t>• External compute/QPU integration path — GPU, HPC and quantum resources can initially be accessed through appropriate partners.</w:t>
        <w:br/>
        <w:t>• Engineering assistance — support for problem formulation, experimentation and client-specific QAI development.</w:t>
      </w:r>
    </w:p>
    <w:p>
      <w:pPr>
        <w:pStyle w:val="Heading1"/>
      </w:pPr>
      <w:r>
        <w:t>4. Customer Value Proposition</w:t>
      </w:r>
    </w:p>
    <w:p>
      <w:r>
        <w:t>The customer does not need to wait for every proprietary QAI product to be completed before starting to experiment. The platform provides an entry point for SMEs, startups and enterprises to explore QAI, modernize existing systems and develop new products.</w:t>
        <w:br/>
        <w:br/>
        <w:t>Proposed positioning:</w:t>
        <w:br/>
        <w:t>“We help SMEs, startups and enterprises tap the potential of QAI at an economical price by providing an accessible platform to experiment, modernize and progressively adopt hybrid AI, HPC and quantum technologies.”</w:t>
      </w:r>
    </w:p>
    <w:p>
      <w:pPr>
        <w:pStyle w:val="Heading1"/>
      </w:pPr>
      <w:r>
        <w:t>5. Commercial Progression</w:t>
      </w:r>
    </w:p>
    <w:p>
      <w:r>
        <w:t>READY TODAY</w:t>
        <w:br/>
        <w:t xml:space="preserve">    ↓</w:t>
        <w:br/>
        <w:t>General Framework + General Factory</w:t>
        <w:br/>
        <w:t xml:space="preserve">    ↓</w:t>
        <w:br/>
        <w:t>Virtual CPS + QAI Lab</w:t>
        <w:br/>
        <w:t xml:space="preserve">    ↓</w:t>
        <w:br/>
        <w:t>Client Experimentation</w:t>
        <w:br/>
        <w:t xml:space="preserve">    ↓</w:t>
        <w:br/>
        <w:t>Client-specific QAI Development</w:t>
        <w:br/>
        <w:t xml:space="preserve">    ↓</w:t>
        <w:br/>
        <w:t>Validated Use Case</w:t>
        <w:br/>
        <w:t xml:space="preserve">    ├── Modernize existing system</w:t>
        <w:br/>
        <w:t xml:space="preserve">    ├── Deploy QAI solution</w:t>
        <w:br/>
        <w:t xml:space="preserve">    └── Develop new QAI product</w:t>
        <w:br/>
        <w:t xml:space="preserve">              ↓</w:t>
        <w:br/>
        <w:t xml:space="preserve">       QAI Product Ecosystem</w:t>
      </w:r>
    </w:p>
    <w:p>
      <w:pPr>
        <w:pStyle w:val="Heading1"/>
      </w:pPr>
      <w:r>
        <w:t>6. Progressive Infrastructure Strategy</w:t>
      </w:r>
    </w:p>
    <w:p>
      <w:r>
        <w:t>The platform can initially use external GPU, HPC and QPU infrastructure and progressively introduce proprietary QAI products as technical maturity, customer requirements and commercial evidence justify them.</w:t>
        <w:br/>
        <w:br/>
        <w:t>External infrastructure</w:t>
        <w:br/>
        <w:t xml:space="preserve">        ↓</w:t>
        <w:br/>
        <w:t>General Factory abstraction</w:t>
        <w:br/>
        <w:t xml:space="preserve">        ↓</w:t>
        <w:br/>
        <w:t>Client experimentation</w:t>
        <w:br/>
        <w:t xml:space="preserve">        ↓</w:t>
        <w:br/>
        <w:t>Validated requirements</w:t>
        <w:br/>
        <w:t xml:space="preserve">        ↓</w:t>
        <w:br/>
        <w:t>Progressive QAI productization</w:t>
        <w:br/>
        <w:t xml:space="preserve">        ↓</w:t>
        <w:br/>
        <w:t>Increasingly QAI-owned capabilities</w:t>
      </w:r>
    </w:p>
    <w:p>
      <w:pPr>
        <w:pStyle w:val="Heading1"/>
      </w:pPr>
      <w:r>
        <w:t>7. Why This Is a Practical Post-Pilot Strategy</w:t>
      </w:r>
    </w:p>
    <w:p>
      <w:r>
        <w:t>• It allows commercialization of existing capabilities now.</w:t>
        <w:br/>
        <w:t>• It avoids requiring customers to purchase or build quantum infrastructure.</w:t>
        <w:br/>
        <w:t>• It avoids overcommitting to QAI products that are still progressively maturing.</w:t>
        <w:br/>
        <w:t>• It allows external GPU, HPC and QPU partners to provide initial infrastructure.</w:t>
        <w:br/>
        <w:t>• It gives clients a controlled environment for experimentation and modernization.</w:t>
        <w:br/>
        <w:t>• It allows clients to extend the platform and develop QAI products for their own needs.</w:t>
        <w:br/>
        <w:t>• Real customer projects provide evidence that can guide subsequent QAI product development.</w:t>
      </w:r>
    </w:p>
    <w:p>
      <w:pPr>
        <w:pStyle w:val="Heading1"/>
      </w:pPr>
      <w:r>
        <w:t>8. Positioning for Canadian Commercialization and Funding</w:t>
      </w:r>
    </w:p>
    <w:p>
      <w:r>
        <w:t>The proposition should not be framed primarily as building another quantum computer or another quantum development environment. The near-term proposition is a vendor-neutral hybrid computational engineering and deployment platform that makes QAI experimentation and adoption accessible. The General Framework and General Factory form the technical foundation, while the commercial offering focuses on ready-to-use experimentation, engineering assistance, modernization and client-specific product development.</w:t>
      </w:r>
    </w:p>
    <w:p>
      <w:pPr>
        <w:pStyle w:val="Heading1"/>
      </w:pPr>
      <w:r>
        <w:t>9. Core Message</w:t>
      </w:r>
    </w:p>
    <w:p>
      <w:r>
        <w:rPr>
          <w:b/>
        </w:rPr>
        <w:t>We provide a working QAI engineering platform today that allows organizations to experiment with QAI, modernize existing systems and develop new products, while progressively introducing advanced GPU, HPC and QPU capabilities as their requirements and evidence justify them.</w:t>
      </w:r>
    </w:p>
    <w:p>
      <w:pPr>
        <w:pStyle w:val="Heading1"/>
      </w:pPr>
      <w:r>
        <w:t>10. Guiding Principle</w:t>
      </w:r>
    </w:p>
    <w:p>
      <w:r>
        <w:rPr>
          <w:b/>
        </w:rPr>
        <w:t>Build the platform that makes advanced technology accessible first; progressively build the proprietary technology that makes the platform better.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