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QAI Technology Transfer Office – Foundational Document Suite v1.0</w:t>
      </w:r>
    </w:p>
    <w:p>
      <w:r>
        <w:br/>
        <w:t>This document provides the foundational structure and templates for establishing the Technology Transfer Office (TTO) at Bhadale IT Hub — a startup-driven innovation ecosystem centered on Quantum Artificial Intelligence (QAI) technologies.</w:t>
        <w:br/>
        <w:t>Unlike university-based TTOs, this framework emphasizes agility, commercialization readiness, and integration with digital IP ecosystems to accelerate QAI-based product and patent translation into market and defense-grade applications.</w:t>
        <w:br/>
      </w:r>
    </w:p>
    <w:p>
      <w:pPr>
        <w:pStyle w:val="Heading1"/>
      </w:pPr>
      <w:r>
        <w:t>1. Overview</w:t>
      </w:r>
    </w:p>
    <w:p>
      <w:r>
        <w:br/>
        <w:t>The QAI-TTO Foundational Document Suite defines the essential documentation for managing intellectual property (IP), legal partnerships, and commercialization operations. It supports Bhadale IT Hub’s goal of transforming innovative QAI research into secure, high-impact, and scalable technologies.</w:t>
        <w:br/>
      </w:r>
    </w:p>
    <w:p>
      <w:pPr>
        <w:pStyle w:val="Heading1"/>
      </w:pPr>
      <w:r>
        <w:t>2. Core Document Categories</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Document Title</w:t>
            </w:r>
          </w:p>
        </w:tc>
        <w:tc>
          <w:tcPr>
            <w:tcW w:type="dxa" w:w="2880"/>
          </w:tcPr>
          <w:p>
            <w:r>
              <w:t>Purpose / Role</w:t>
            </w:r>
          </w:p>
        </w:tc>
      </w:tr>
      <w:tr>
        <w:tc>
          <w:tcPr>
            <w:tcW w:type="dxa" w:w="2880"/>
          </w:tcPr>
          <w:p>
            <w:r>
              <w:t>Governance &amp; Strategy</w:t>
            </w:r>
          </w:p>
        </w:tc>
        <w:tc>
          <w:tcPr>
            <w:tcW w:type="dxa" w:w="2880"/>
          </w:tcPr>
          <w:p>
            <w:r>
              <w:t>QAI-TTO Strategic Plan</w:t>
            </w:r>
          </w:p>
        </w:tc>
        <w:tc>
          <w:tcPr>
            <w:tcW w:type="dxa" w:w="2880"/>
          </w:tcPr>
          <w:p>
            <w:r>
              <w:t>Defines mission, vision, and roadmap for startup technology transfer activities.</w:t>
            </w:r>
          </w:p>
        </w:tc>
      </w:tr>
      <w:tr>
        <w:tc>
          <w:tcPr>
            <w:tcW w:type="dxa" w:w="2880"/>
          </w:tcPr>
          <w:p>
            <w:r>
              <w:t>Governance &amp; Strategy</w:t>
            </w:r>
          </w:p>
        </w:tc>
        <w:tc>
          <w:tcPr>
            <w:tcW w:type="dxa" w:w="2880"/>
          </w:tcPr>
          <w:p>
            <w:r>
              <w:t>Organizational Chart &amp; Roles</w:t>
            </w:r>
          </w:p>
        </w:tc>
        <w:tc>
          <w:tcPr>
            <w:tcW w:type="dxa" w:w="2880"/>
          </w:tcPr>
          <w:p>
            <w:r>
              <w:t>Clarifies startup TTO hierarchy and communication structure.</w:t>
            </w:r>
          </w:p>
        </w:tc>
      </w:tr>
      <w:tr>
        <w:tc>
          <w:tcPr>
            <w:tcW w:type="dxa" w:w="2880"/>
          </w:tcPr>
          <w:p>
            <w:r>
              <w:t>Governance &amp; Strategy</w:t>
            </w:r>
          </w:p>
        </w:tc>
        <w:tc>
          <w:tcPr>
            <w:tcW w:type="dxa" w:w="2880"/>
          </w:tcPr>
          <w:p>
            <w:r>
              <w:t>Operational Procedures Manual</w:t>
            </w:r>
          </w:p>
        </w:tc>
        <w:tc>
          <w:tcPr>
            <w:tcW w:type="dxa" w:w="2880"/>
          </w:tcPr>
          <w:p>
            <w:r>
              <w:t>Describes end-to-end TTO processes to ensure standardization and scalability.</w:t>
            </w:r>
          </w:p>
        </w:tc>
      </w:tr>
      <w:tr>
        <w:tc>
          <w:tcPr>
            <w:tcW w:type="dxa" w:w="2880"/>
          </w:tcPr>
          <w:p>
            <w:r>
              <w:t>IP Management</w:t>
            </w:r>
          </w:p>
        </w:tc>
        <w:tc>
          <w:tcPr>
            <w:tcW w:type="dxa" w:w="2880"/>
          </w:tcPr>
          <w:p>
            <w:r>
              <w:t>IP Policy &amp; Ownership Guidelines</w:t>
            </w:r>
          </w:p>
        </w:tc>
        <w:tc>
          <w:tcPr>
            <w:tcW w:type="dxa" w:w="2880"/>
          </w:tcPr>
          <w:p>
            <w:r>
              <w:t>Defines ownership, disclosure, and revenue-sharing rules for startup IP.</w:t>
            </w:r>
          </w:p>
        </w:tc>
      </w:tr>
      <w:tr>
        <w:tc>
          <w:tcPr>
            <w:tcW w:type="dxa" w:w="2880"/>
          </w:tcPr>
          <w:p>
            <w:r>
              <w:t>IP Management</w:t>
            </w:r>
          </w:p>
        </w:tc>
        <w:tc>
          <w:tcPr>
            <w:tcW w:type="dxa" w:w="2880"/>
          </w:tcPr>
          <w:p>
            <w:r>
              <w:t>Invention Disclosure Form (IDF)</w:t>
            </w:r>
          </w:p>
        </w:tc>
        <w:tc>
          <w:tcPr>
            <w:tcW w:type="dxa" w:w="2880"/>
          </w:tcPr>
          <w:p>
            <w:r>
              <w:t>Captures technical, inventor, and novelty details of QAI innovations.</w:t>
            </w:r>
          </w:p>
        </w:tc>
      </w:tr>
      <w:tr>
        <w:tc>
          <w:tcPr>
            <w:tcW w:type="dxa" w:w="2880"/>
          </w:tcPr>
          <w:p>
            <w:r>
              <w:t>Legal &amp; Compliance</w:t>
            </w:r>
          </w:p>
        </w:tc>
        <w:tc>
          <w:tcPr>
            <w:tcW w:type="dxa" w:w="2880"/>
          </w:tcPr>
          <w:p>
            <w:r>
              <w:t>NDA Template</w:t>
            </w:r>
          </w:p>
        </w:tc>
        <w:tc>
          <w:tcPr>
            <w:tcW w:type="dxa" w:w="2880"/>
          </w:tcPr>
          <w:p>
            <w:r>
              <w:t>Ensures confidentiality during R&amp;D, investor, and partner discussions.</w:t>
            </w:r>
          </w:p>
        </w:tc>
      </w:tr>
      <w:tr>
        <w:tc>
          <w:tcPr>
            <w:tcW w:type="dxa" w:w="2880"/>
          </w:tcPr>
          <w:p>
            <w:r>
              <w:t>Legal &amp; Compliance</w:t>
            </w:r>
          </w:p>
        </w:tc>
        <w:tc>
          <w:tcPr>
            <w:tcW w:type="dxa" w:w="2880"/>
          </w:tcPr>
          <w:p>
            <w:r>
              <w:t>Licensing Agreement Template</w:t>
            </w:r>
          </w:p>
        </w:tc>
        <w:tc>
          <w:tcPr>
            <w:tcW w:type="dxa" w:w="2880"/>
          </w:tcPr>
          <w:p>
            <w:r>
              <w:t>Sets terms for commercializing quantum and AI technologies.</w:t>
            </w:r>
          </w:p>
        </w:tc>
      </w:tr>
      <w:tr>
        <w:tc>
          <w:tcPr>
            <w:tcW w:type="dxa" w:w="2880"/>
          </w:tcPr>
          <w:p>
            <w:r>
              <w:t>Business &amp; Marketing</w:t>
            </w:r>
          </w:p>
        </w:tc>
        <w:tc>
          <w:tcPr>
            <w:tcW w:type="dxa" w:w="2880"/>
          </w:tcPr>
          <w:p>
            <w:r>
              <w:t>Technology Profile Sheet</w:t>
            </w:r>
          </w:p>
        </w:tc>
        <w:tc>
          <w:tcPr>
            <w:tcW w:type="dxa" w:w="2880"/>
          </w:tcPr>
          <w:p>
            <w:r>
              <w:t>Summarizes market-ready QAI technologies for outreach and partnerships.</w:t>
            </w:r>
          </w:p>
        </w:tc>
      </w:tr>
      <w:tr>
        <w:tc>
          <w:tcPr>
            <w:tcW w:type="dxa" w:w="2880"/>
          </w:tcPr>
          <w:p>
            <w:r>
              <w:t>Tracking &amp; Reporting</w:t>
            </w:r>
          </w:p>
        </w:tc>
        <w:tc>
          <w:tcPr>
            <w:tcW w:type="dxa" w:w="2880"/>
          </w:tcPr>
          <w:p>
            <w:r>
              <w:t>IP Register / Portfolio Tracker</w:t>
            </w:r>
          </w:p>
        </w:tc>
        <w:tc>
          <w:tcPr>
            <w:tcW w:type="dxa" w:w="2880"/>
          </w:tcPr>
          <w:p>
            <w:r>
              <w:t>Maintains records of filings, renewals, and licenses.</w:t>
            </w:r>
          </w:p>
        </w:tc>
      </w:tr>
      <w:tr>
        <w:tc>
          <w:tcPr>
            <w:tcW w:type="dxa" w:w="2880"/>
          </w:tcPr>
          <w:p>
            <w:r>
              <w:t>Advanced (Digital IP)</w:t>
            </w:r>
          </w:p>
        </w:tc>
        <w:tc>
          <w:tcPr>
            <w:tcW w:type="dxa" w:w="2880"/>
          </w:tcPr>
          <w:p>
            <w:r>
              <w:t>QAI Asset Registry</w:t>
            </w:r>
          </w:p>
        </w:tc>
        <w:tc>
          <w:tcPr>
            <w:tcW w:type="dxa" w:w="2880"/>
          </w:tcPr>
          <w:p>
            <w:r>
              <w:t>Registers QAI models, datasets, and quantum circuits as digital IP assets.</w:t>
            </w:r>
          </w:p>
        </w:tc>
      </w:tr>
    </w:tbl>
    <w:p>
      <w:pPr>
        <w:pStyle w:val="Heading1"/>
      </w:pPr>
      <w:r>
        <w:t>3. Document Descriptions and Suggested Contents</w:t>
      </w:r>
    </w:p>
    <w:p>
      <w:pPr>
        <w:pStyle w:val="Heading2"/>
      </w:pPr>
      <w:r>
        <w:t>3.1 QAI-TTO Strategic Plan</w:t>
      </w:r>
    </w:p>
    <w:p>
      <w:r>
        <w:t>Defines the strategic direction, structure, and roadmap for TTO operations at Bhadale IT Hub. This plan ensures alignment with startup objectives — rapid IP creation, efficient patent filing, and early-stage commercialization.</w:t>
        <w:br/>
        <w:br/>
        <w:t>Suggested Sections:</w:t>
        <w:br/>
        <w:t>- Executive Summary</w:t>
        <w:br/>
        <w:t>- Mission &amp; Vision tailored to hybrid QAI innovation</w:t>
        <w:br/>
        <w:t>- Short, Medium, Long-term Strategic Objectives</w:t>
        <w:br/>
        <w:t>- Organizational Model integrating Legal, R&amp;D, and Commercial teams</w:t>
        <w:br/>
        <w:t>- Integration with QAI Ops, PLM, and Datacenter systems</w:t>
        <w:br/>
        <w:t>- Startup funding plan and resource allocation strategy</w:t>
        <w:br/>
        <w:t>- Monitoring KPIs and Review Cycles</w:t>
      </w:r>
    </w:p>
    <w:p>
      <w:pPr>
        <w:pStyle w:val="Heading2"/>
      </w:pPr>
      <w:r>
        <w:t>3.2 Organizational Chart &amp; Roles</w:t>
      </w:r>
    </w:p>
    <w:p>
      <w:r>
        <w:t>Defines roles to maintain agility in a lean startup environment.</w:t>
        <w:br/>
        <w:br/>
        <w:t>Key Roles:</w:t>
        <w:br/>
        <w:t>- TTO Director – Leads and aligns IP strategy with startup goals.</w:t>
        <w:br/>
        <w:t>- IP Manager – Coordinates patent drafting, filings, and renewals.</w:t>
        <w:br/>
        <w:t>- Legal Advisor – Handles IP, licensing, and NDAs.</w:t>
        <w:br/>
        <w:t>- Innovation Officer – Bridges R&amp;D outputs to TTO commercialization.</w:t>
        <w:br/>
        <w:t>- Commercialization Manager – Engages partners and investors.</w:t>
        <w:br/>
        <w:t>- QAI Digital IP Custodian – Oversees registry of algorithms, models, and datasets.</w:t>
      </w:r>
    </w:p>
    <w:p>
      <w:pPr>
        <w:pStyle w:val="Heading2"/>
      </w:pPr>
      <w:r>
        <w:t>3.3 Operational Procedures Manual</w:t>
      </w:r>
    </w:p>
    <w:p>
      <w:r>
        <w:t>Describes all operational steps from invention to commercialization with a focus on automation and lean execution.</w:t>
        <w:br/>
        <w:br/>
        <w:t>Processes Include:</w:t>
        <w:br/>
        <w:t>- Invention Disclosure Submission</w:t>
        <w:br/>
        <w:t>- Review and Evaluation (Technical + Legal)</w:t>
        <w:br/>
        <w:t>- IP Filing and Documentation Workflow</w:t>
        <w:br/>
        <w:t>- Partner Outreach and Licensing</w:t>
        <w:br/>
        <w:t>- Continuous Improvement and Policy Review</w:t>
      </w:r>
    </w:p>
    <w:p>
      <w:pPr>
        <w:pStyle w:val="Heading2"/>
      </w:pPr>
      <w:r>
        <w:t>3.4 IP Policy &amp; Ownership Guidelines</w:t>
      </w:r>
    </w:p>
    <w:p>
      <w:r>
        <w:t>Defines ownership, disclosure, and revenue-sharing policies for QAI innovations in a startup context.</w:t>
        <w:br/>
        <w:br/>
        <w:t>Core Sections:</w:t>
        <w:br/>
        <w:t>- Ownership definitions (individual, team, joint IP)</w:t>
        <w:br/>
        <w:t>- Public disclosure rules</w:t>
        <w:br/>
        <w:t>- Royalty and revenue sharing models</w:t>
        <w:br/>
        <w:t>- Post-quantum security requirements in contracts</w:t>
        <w:br/>
        <w:t>- Dispute resolution and arbitration procedures</w:t>
      </w:r>
    </w:p>
    <w:p>
      <w:pPr>
        <w:pStyle w:val="Heading2"/>
      </w:pPr>
      <w:r>
        <w:t>3.5 Invention Disclosure Form (IDF)</w:t>
      </w:r>
    </w:p>
    <w:p>
      <w:r>
        <w:t>Captures invention details for assessment and protection.</w:t>
        <w:br/>
        <w:br/>
        <w:t>Key Fields:</w:t>
        <w:br/>
        <w:t>- Invention Title and Summary</w:t>
        <w:br/>
        <w:t>- Inventor and Affiliation</w:t>
        <w:br/>
        <w:t>- Technical Description (Quantum, AI, or Hybrid)</w:t>
        <w:br/>
        <w:t>- Market Relevance and Novelty</w:t>
        <w:br/>
        <w:t>- Type of Protection (Patent, Trade Secret, Digital IP)</w:t>
      </w:r>
    </w:p>
    <w:p>
      <w:pPr>
        <w:pStyle w:val="Heading2"/>
      </w:pPr>
      <w:r>
        <w:t>3.6 QAI Asset Registry</w:t>
      </w:r>
    </w:p>
    <w:p>
      <w:r>
        <w:t>Records digital and quantum-classical hybrid assets under IP control.</w:t>
        <w:br/>
        <w:br/>
        <w:t>Metadata Fields:</w:t>
        <w:br/>
        <w:t>- Asset Type (model, dataset, quantum circuit, source code)</w:t>
        <w:br/>
        <w:t>- Version or Hash ID</w:t>
        <w:br/>
        <w:t>- Inventor and Contributors</w:t>
        <w:br/>
        <w:t>- Linked IP or Disclosure ID</w:t>
        <w:br/>
        <w:t>- Licensing Terms and Restrictions</w:t>
      </w:r>
    </w:p>
    <w:p>
      <w:pPr>
        <w:pStyle w:val="Heading2"/>
      </w:pPr>
      <w:r>
        <w:t>3.7 IP Register / Portfolio Tracker</w:t>
      </w:r>
    </w:p>
    <w:p>
      <w:r>
        <w:t>Centralized log for all IP filings, renewals, and revenue performance. Integrated with QAI Ops dashboard for automated tracking.</w:t>
        <w:br/>
        <w:br/>
        <w:t>Key Fields:</w:t>
        <w:br/>
        <w:t>- IP Title and Type</w:t>
        <w:br/>
        <w:t>- Filing Dates and Jurisdictions</w:t>
        <w:br/>
        <w:t>- Renewal Schedule</w:t>
        <w:br/>
        <w:t>- Licensees and Revenues</w:t>
      </w:r>
    </w:p>
    <w:p>
      <w:pPr>
        <w:pStyle w:val="Heading2"/>
      </w:pPr>
      <w:r>
        <w:t>3.8 TTO Annual Report Template</w:t>
      </w:r>
    </w:p>
    <w:p>
      <w:r>
        <w:t>Summarizes yearly IP and commercialization outcomes to guide policy updates.</w:t>
        <w:br/>
        <w:br/>
        <w:t>Sections:</w:t>
        <w:br/>
        <w:t>- Executive Summary</w:t>
        <w:br/>
        <w:t>- IP Metrics (Filed, Granted, Licensed)</w:t>
        <w:br/>
        <w:t>- Revenue, Deals, and Spinouts</w:t>
        <w:br/>
        <w:t>- Next-Year Goals and Strategic Focus</w:t>
      </w:r>
    </w:p>
    <w:p>
      <w:pPr>
        <w:pStyle w:val="Heading1"/>
      </w:pPr>
      <w:r>
        <w:t>4. Integration with QAI Ecosystem</w:t>
      </w:r>
    </w:p>
    <w:p>
      <w:r>
        <w:br/>
        <w:t>Each foundational document directly interfaces with Bhadale IT Hub’s integrated systems to ensure consistency and traceability across operations:</w:t>
        <w:br/>
        <w:t>- QAI Ops: Workflow tracking, audit logs, and automation.</w:t>
        <w:br/>
        <w:t>- QAI PLM: Maps IP to product lifecycle phases.</w:t>
        <w:br/>
        <w:t>- QAI OS: Enforces digital IP tagging and user policy compliance.</w:t>
        <w:br/>
        <w:t>- QAI Datacenter: Secure storage, backup, and quantum encryption of IP data.</w:t>
        <w:br/>
      </w:r>
    </w:p>
    <w:p>
      <w:pPr>
        <w:pStyle w:val="Heading1"/>
      </w:pPr>
      <w:r>
        <w:t>5. Annexes</w:t>
      </w:r>
    </w:p>
    <w:p>
      <w:r>
        <w:br/>
        <w:t>Annex A – Template Index and Version Control</w:t>
        <w:br/>
        <w:t>Annex B – Document Change Log</w:t>
        <w:br/>
        <w:t>Annex C – Compliance with WIPO, AUTM, and OECD Guidelines</w:t>
        <w:br/>
        <w:t>Annex D – Tailored QAI Startup Implementation Notes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