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QAI Technology Transfer Office (TTO) Framework v1.0</w:t>
      </w:r>
    </w:p>
    <w:p>
      <w:pPr>
        <w:pStyle w:val="Heading1"/>
      </w:pPr>
      <w:r>
        <w:t>1. Purpose and Scope</w:t>
      </w:r>
    </w:p>
    <w:p>
      <w:r>
        <w:br/>
        <w:t xml:space="preserve">The Quantum AI Technology Transfer Office (QAI-TTO) serves as the central system for managing intellectual property (IP), commercialization, and partnerships within the Bhadale IT Hub ecosystem. </w:t>
        <w:br/>
        <w:t>It bridges the gap between innovation, protection, productization, and market entry for QAI-based technologies, patents, products, and digital assets.</w:t>
        <w:br/>
      </w:r>
    </w:p>
    <w:p>
      <w:pPr>
        <w:pStyle w:val="Heading1"/>
      </w:pPr>
      <w:r>
        <w:t>2. Basic Operational Steps</w:t>
      </w:r>
    </w:p>
    <w:p>
      <w:pPr>
        <w:pStyle w:val="Heading2"/>
      </w:pPr>
      <w:r>
        <w:t>Phase 1: Strategy &amp; Foundation</w:t>
      </w:r>
    </w:p>
    <w:p>
      <w:pPr>
        <w:pStyle w:val="ListBullet"/>
      </w:pPr>
      <w:r>
        <w:t>Define Vision &amp; Mission – Align with QAI innovation and commercialization goals.</w:t>
      </w:r>
    </w:p>
    <w:p>
      <w:pPr>
        <w:pStyle w:val="ListBullet"/>
      </w:pPr>
      <w:r>
        <w:t>Identify Core Technologies – Map QAI patents, algorithms, and assets.</w:t>
      </w:r>
    </w:p>
    <w:p>
      <w:pPr>
        <w:pStyle w:val="ListBullet"/>
      </w:pPr>
      <w:r>
        <w:t>Establish Governance – Assign roles: IP Manager, Legal Advisor, Innovation Officer.</w:t>
      </w:r>
    </w:p>
    <w:p>
      <w:pPr>
        <w:pStyle w:val="Heading2"/>
      </w:pPr>
      <w:r>
        <w:t>Phase 2: IP &amp; Legal Framework</w:t>
      </w:r>
    </w:p>
    <w:p>
      <w:pPr>
        <w:pStyle w:val="ListBullet"/>
      </w:pPr>
      <w:r>
        <w:t>Draft IP Policy – Define ownership, disclosure, and revenue sharing rules.</w:t>
      </w:r>
    </w:p>
    <w:p>
      <w:pPr>
        <w:pStyle w:val="ListBullet"/>
      </w:pPr>
      <w:r>
        <w:t>Disclosure Process – Implement invention disclosure forms and review procedures.</w:t>
      </w:r>
    </w:p>
    <w:p>
      <w:pPr>
        <w:pStyle w:val="ListBullet"/>
      </w:pPr>
      <w:r>
        <w:t>Evaluate and Protect IP – Conduct patent searches, novelty checks, and filings.</w:t>
      </w:r>
    </w:p>
    <w:p>
      <w:pPr>
        <w:pStyle w:val="Heading2"/>
      </w:pPr>
      <w:r>
        <w:t>Phase 3: Commercialization Pipeline</w:t>
      </w:r>
    </w:p>
    <w:p>
      <w:pPr>
        <w:pStyle w:val="ListBullet"/>
      </w:pPr>
      <w:r>
        <w:t>Market Assessment – Evaluate potential sectors and technology impact.</w:t>
      </w:r>
    </w:p>
    <w:p>
      <w:pPr>
        <w:pStyle w:val="ListBullet"/>
      </w:pPr>
      <w:r>
        <w:t>Develop Licensing &amp; Spinout Strategy – Select between licensing or joint ventures.</w:t>
      </w:r>
    </w:p>
    <w:p>
      <w:pPr>
        <w:pStyle w:val="ListBullet"/>
      </w:pPr>
      <w:r>
        <w:t>Engage Partners – Establish MoUs and NDAs with industry collaborators.</w:t>
      </w:r>
    </w:p>
    <w:p>
      <w:pPr>
        <w:pStyle w:val="Heading2"/>
      </w:pPr>
      <w:r>
        <w:t>Phase 4: Monitoring &amp; Growth</w:t>
      </w:r>
    </w:p>
    <w:p>
      <w:pPr>
        <w:pStyle w:val="ListBullet"/>
      </w:pPr>
      <w:r>
        <w:t>Track and Report Outcomes – Use dashboards for IP and revenue tracking.</w:t>
      </w:r>
    </w:p>
    <w:p>
      <w:pPr>
        <w:pStyle w:val="ListBullet"/>
      </w:pPr>
      <w:r>
        <w:t>Continuous Improvement – Annual updates to TTO methods and practices.</w:t>
      </w:r>
    </w:p>
    <w:p>
      <w:pPr>
        <w:pStyle w:val="Heading1"/>
      </w:pPr>
      <w:r>
        <w:t>3. Initial Minimum Set of Documents</w:t>
      </w:r>
    </w:p>
    <w:p>
      <w:r>
        <w:br/>
        <w:t>Below is the startup baseline documentation kit for TTO operations: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QAI-TTO Strategic Plan</w:t>
            </w:r>
          </w:p>
        </w:tc>
        <w:tc>
          <w:tcPr>
            <w:tcW w:type="dxa" w:w="4320"/>
          </w:tcPr>
          <w:p>
            <w:r>
              <w:t>Defines mission, vision, goals, and a 3-year roadmap.</w:t>
            </w:r>
          </w:p>
        </w:tc>
      </w:tr>
      <w:tr>
        <w:tc>
          <w:tcPr>
            <w:tcW w:type="dxa" w:w="4320"/>
          </w:tcPr>
          <w:p>
            <w:r>
              <w:t>Organizational Chart &amp; Roles</w:t>
            </w:r>
          </w:p>
        </w:tc>
        <w:tc>
          <w:tcPr>
            <w:tcW w:type="dxa" w:w="4320"/>
          </w:tcPr>
          <w:p>
            <w:r>
              <w:t>Outlines responsibilities for all TTO members.</w:t>
            </w:r>
          </w:p>
        </w:tc>
      </w:tr>
      <w:tr>
        <w:tc>
          <w:tcPr>
            <w:tcW w:type="dxa" w:w="4320"/>
          </w:tcPr>
          <w:p>
            <w:r>
              <w:t>Operational Procedures Manual</w:t>
            </w:r>
          </w:p>
        </w:tc>
        <w:tc>
          <w:tcPr>
            <w:tcW w:type="dxa" w:w="4320"/>
          </w:tcPr>
          <w:p>
            <w:r>
              <w:t>Describes process flow from invention to commercialization.</w:t>
            </w:r>
          </w:p>
        </w:tc>
      </w:tr>
      <w:tr>
        <w:tc>
          <w:tcPr>
            <w:tcW w:type="dxa" w:w="4320"/>
          </w:tcPr>
          <w:p>
            <w:r>
              <w:t>IP Policy &amp; Ownership Guidelines</w:t>
            </w:r>
          </w:p>
        </w:tc>
        <w:tc>
          <w:tcPr>
            <w:tcW w:type="dxa" w:w="4320"/>
          </w:tcPr>
          <w:p>
            <w:r>
              <w:t>Establishes rules for IP creation and sharing.</w:t>
            </w:r>
          </w:p>
        </w:tc>
      </w:tr>
      <w:tr>
        <w:tc>
          <w:tcPr>
            <w:tcW w:type="dxa" w:w="4320"/>
          </w:tcPr>
          <w:p>
            <w:r>
              <w:t>Invention Disclosure Form (IDF)</w:t>
            </w:r>
          </w:p>
        </w:tc>
        <w:tc>
          <w:tcPr>
            <w:tcW w:type="dxa" w:w="4320"/>
          </w:tcPr>
          <w:p>
            <w:r>
              <w:t>Captures inventor details and novelty claims.</w:t>
            </w:r>
          </w:p>
        </w:tc>
      </w:tr>
      <w:tr>
        <w:tc>
          <w:tcPr>
            <w:tcW w:type="dxa" w:w="4320"/>
          </w:tcPr>
          <w:p>
            <w:r>
              <w:t>NDA Template</w:t>
            </w:r>
          </w:p>
        </w:tc>
        <w:tc>
          <w:tcPr>
            <w:tcW w:type="dxa" w:w="4320"/>
          </w:tcPr>
          <w:p>
            <w:r>
              <w:t>Standard confidentiality agreement.</w:t>
            </w:r>
          </w:p>
        </w:tc>
      </w:tr>
      <w:tr>
        <w:tc>
          <w:tcPr>
            <w:tcW w:type="dxa" w:w="4320"/>
          </w:tcPr>
          <w:p>
            <w:r>
              <w:t>Licensing Agreement Template</w:t>
            </w:r>
          </w:p>
        </w:tc>
        <w:tc>
          <w:tcPr>
            <w:tcW w:type="dxa" w:w="4320"/>
          </w:tcPr>
          <w:p>
            <w:r>
              <w:t>Specifies revenue-sharing and rights structure.</w:t>
            </w:r>
          </w:p>
        </w:tc>
      </w:tr>
      <w:tr>
        <w:tc>
          <w:tcPr>
            <w:tcW w:type="dxa" w:w="4320"/>
          </w:tcPr>
          <w:p>
            <w:r>
              <w:t>Technology Profile Sheet</w:t>
            </w:r>
          </w:p>
        </w:tc>
        <w:tc>
          <w:tcPr>
            <w:tcW w:type="dxa" w:w="4320"/>
          </w:tcPr>
          <w:p>
            <w:r>
              <w:t>Describes QAI technology for potential licensees.</w:t>
            </w:r>
          </w:p>
        </w:tc>
      </w:tr>
      <w:tr>
        <w:tc>
          <w:tcPr>
            <w:tcW w:type="dxa" w:w="4320"/>
          </w:tcPr>
          <w:p>
            <w:r>
              <w:t>IP Register / Portfolio Tracker</w:t>
            </w:r>
          </w:p>
        </w:tc>
        <w:tc>
          <w:tcPr>
            <w:tcW w:type="dxa" w:w="4320"/>
          </w:tcPr>
          <w:p>
            <w:r>
              <w:t>Tracks filings, renewals, and licenses.</w:t>
            </w:r>
          </w:p>
        </w:tc>
      </w:tr>
      <w:tr>
        <w:tc>
          <w:tcPr>
            <w:tcW w:type="dxa" w:w="4320"/>
          </w:tcPr>
          <w:p>
            <w:r>
              <w:t>QAI Asset Registry (Digital IP)</w:t>
            </w:r>
          </w:p>
        </w:tc>
        <w:tc>
          <w:tcPr>
            <w:tcW w:type="dxa" w:w="4320"/>
          </w:tcPr>
          <w:p>
            <w:r>
              <w:t>Records AI models, datasets, algorithms, and circuits.</w:t>
            </w:r>
          </w:p>
        </w:tc>
      </w:tr>
    </w:tbl>
    <w:p>
      <w:pPr>
        <w:pStyle w:val="Heading1"/>
      </w:pPr>
      <w:r>
        <w:t>4. QAI-Specific Tailoring</w:t>
      </w:r>
    </w:p>
    <w:p>
      <w:pPr>
        <w:pStyle w:val="ListBullet"/>
      </w:pPr>
      <w:r>
        <w:t>Protect algorithmic logic and ansatz structures using hybrid disclosure forms.</w:t>
      </w:r>
    </w:p>
    <w:p>
      <w:pPr>
        <w:pStyle w:val="ListBullet"/>
      </w:pPr>
      <w:r>
        <w:t>Register trained models, datasets, and prompt libraries as digital IP assets.</w:t>
      </w:r>
    </w:p>
    <w:p>
      <w:pPr>
        <w:pStyle w:val="ListBullet"/>
      </w:pPr>
      <w:r>
        <w:t>Record QAI hardware blueprints (processor, OS, datacenter components).</w:t>
      </w:r>
    </w:p>
    <w:p>
      <w:pPr>
        <w:pStyle w:val="ListBullet"/>
      </w:pPr>
      <w:r>
        <w:t>Use composite patent filings for hybrid hardware-software inventions.</w:t>
      </w:r>
    </w:p>
    <w:p>
      <w:pPr>
        <w:pStyle w:val="ListBullet"/>
      </w:pPr>
      <w:r>
        <w:t>Implement post-quantum security clauses in NDAs and partner contracts.</w:t>
      </w:r>
    </w:p>
    <w:p>
      <w:pPr>
        <w:pStyle w:val="ListBullet"/>
      </w:pPr>
      <w:r>
        <w:t>Adopt a QAI Valuation Index (QVI) for technology readiness and quantum maturity.</w:t>
      </w:r>
    </w:p>
    <w:p>
      <w:pPr>
        <w:pStyle w:val="ListBullet"/>
      </w:pPr>
      <w:r>
        <w:t>Develop Licensing-as-a-Service (LaaS) models for modular QAI technologies.</w:t>
      </w:r>
    </w:p>
    <w:p>
      <w:pPr>
        <w:pStyle w:val="ListBullet"/>
      </w:pPr>
      <w:r>
        <w:t>Maintain a QAI IP Knowledge Graph to map interdependencies.</w:t>
      </w:r>
    </w:p>
    <w:p>
      <w:pPr>
        <w:pStyle w:val="Heading1"/>
      </w:pPr>
      <w:r>
        <w:t>5. Recommended Process Workflow</w:t>
      </w:r>
    </w:p>
    <w:p>
      <w:r>
        <w:t>Invention Disclosure → TTO Review → Patent Filing → Market Validation → Technology Packaging → Deal Negotiation → Revenue Tracking</w:t>
      </w:r>
    </w:p>
    <w:p>
      <w:pPr>
        <w:pStyle w:val="Heading1"/>
      </w:pPr>
      <w:r>
        <w:t>6. Key Performance Indicators (KPIs)</w:t>
      </w:r>
    </w:p>
    <w:p>
      <w:pPr>
        <w:pStyle w:val="ListBullet"/>
      </w:pPr>
      <w:r>
        <w:t>IP Generation – Number of disclosures and patents filed/granted.</w:t>
      </w:r>
    </w:p>
    <w:p>
      <w:pPr>
        <w:pStyle w:val="ListBullet"/>
      </w:pPr>
      <w:r>
        <w:t>Commercialization – Number of licenses, spinouts, and partnerships.</w:t>
      </w:r>
    </w:p>
    <w:p>
      <w:pPr>
        <w:pStyle w:val="ListBullet"/>
      </w:pPr>
      <w:r>
        <w:t>Revenue – Licensing income and ROI per IP asset.</w:t>
      </w:r>
    </w:p>
    <w:p>
      <w:pPr>
        <w:pStyle w:val="ListBullet"/>
      </w:pPr>
      <w:r>
        <w:t>Impact – QAI adoption across sectors and industries.</w:t>
      </w:r>
    </w:p>
    <w:p>
      <w:pPr>
        <w:pStyle w:val="ListBullet"/>
      </w:pPr>
      <w:r>
        <w:t>Efficiency – Time from disclosure to protection and market launch.</w:t>
      </w:r>
    </w:p>
    <w:p>
      <w:pPr>
        <w:pStyle w:val="ListBullet"/>
      </w:pPr>
      <w:r>
        <w:t>Collaboration – Number of active R&amp;D or industrial partnerships.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WIPO Practical Steps to Establish TTOs (Bereuter, 2011)</w:t>
      </w:r>
    </w:p>
    <w:p>
      <w:pPr>
        <w:pStyle w:val="ListBullet"/>
      </w:pPr>
      <w:r>
        <w:t>UCT TTO Guidelines (University of Cape Town)</w:t>
      </w:r>
    </w:p>
    <w:p>
      <w:pPr>
        <w:pStyle w:val="ListBullet"/>
      </w:pPr>
      <w:r>
        <w:t>IP Handbook: Establishing TTOs (Young, 2007)</w:t>
      </w:r>
    </w:p>
    <w:p>
      <w:pPr>
        <w:pStyle w:val="ListBullet"/>
      </w:pPr>
      <w:r>
        <w:t>Bhadale IT Hub – QAI Patent, PLM, and Ops Frameworks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