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QAI Data Center Service Standards</w:t>
        <w:br/>
        <w:t>and Stakeholder Assurance</w:t>
      </w:r>
    </w:p>
    <w:p>
      <w:pPr>
        <w:jc w:val="center"/>
      </w:pPr>
      <w:r>
        <w:rPr>
          <w:i/>
        </w:rPr>
        <w:t>Research summary, reference links and proposed maturity plan for Bhadale IT</w:t>
      </w:r>
    </w:p>
    <w:p>
      <w:r>
        <w:t>Purpose: consolidate the supplied articles, research papers, government guidance and data-centre service references into a working brief to clarify the evidence base, candidate requirements, standards options, open questions and staged route toward QAI Data Center as a Service (QAI-DCaaS).</w:t>
      </w:r>
    </w:p>
    <w:p>
      <w:pPr>
        <w:pStyle w:val="Heading1"/>
      </w:pPr>
      <w:r>
        <w:t>1. Executive summary</w:t>
      </w:r>
    </w:p>
    <w:p>
      <w:pPr>
        <w:pStyle w:val="ListBullet"/>
      </w:pPr>
      <w:r>
        <w:t>The sources point to managed, measurable services—not simply servers, networks and facilities. Service definitions, roles, workload handling, monitoring, security, continuity, cost visibility and evidence all matter.</w:t>
      </w:r>
    </w:p>
    <w:p>
      <w:pPr>
        <w:pStyle w:val="ListBullet"/>
      </w:pPr>
      <w:r>
        <w:t>Quantum computing adds service-engineering and resource-orchestration needs: hybrid workflow routing, backend compatibility, scheduling, job metadata, calibration/status awareness and evidence capture. Requirements vary by modality and provider.</w:t>
      </w:r>
    </w:p>
    <w:p>
      <w:pPr>
        <w:pStyle w:val="ListBullet"/>
      </w:pPr>
      <w:r>
        <w:t>Facility assurance and software/service assurance are related but not interchangeable. A software demo does not certify a physical facility; a facility rating does not validate QAI software or quantum advantage.</w:t>
      </w:r>
    </w:p>
    <w:p>
      <w:pPr>
        <w:pStyle w:val="ListBullet"/>
      </w:pPr>
      <w:r>
        <w:t>For Australia-facing proposals, government expectations around national interest, security/data sovereignty, energy, water, workforce, research and local capability are relevant to large facilities.</w:t>
      </w:r>
    </w:p>
    <w:p>
      <w:pPr>
        <w:pStyle w:val="ListBullet"/>
      </w:pPr>
      <w:r>
        <w:t>Recommended sequence: QAI Data Center Blueprint → Phase 2 Deployment Operator → virtual validation → infrastructure gap assessment → qualified partners/hardware → service catalogue and operating model → independent assurance decision → QAI-DCaaS commercialization.</w:t>
      </w:r>
    </w:p>
    <w:p>
      <w:pPr>
        <w:pStyle w:val="Heading1"/>
      </w:pPr>
      <w:r>
        <w:t>2. Scope and terminology</w:t>
      </w:r>
    </w:p>
    <w:p>
      <w:r>
        <w:t>QAI Data Center Blueprint defines architecture, engineering principles and deployment patterns. The QAI Deployment Operator supports controlled deployment planning/execution. QAI-DCaaS is the client-facing service for investment planning, architecture, program delivery, deployment and lifecycle management. QCaaS generally means remote access to quantum-computing resources/software; QDaaS/QDCaaS terminology is not fully uniform.</w:t>
      </w:r>
    </w:p>
    <w:p>
      <w:r>
        <w:t>The supplied material mixes research preprints, government policy, industry commentary, standards-framework descriptions and vendor-associated service material. They have different evidentiary weight. Research papers are not certification standards; industry articles are context, not normative requirements.</w:t>
      </w:r>
    </w:p>
    <w:p>
      <w:pPr>
        <w:pStyle w:val="Heading1"/>
      </w:pPr>
      <w:r>
        <w:t>3. Source-by-source summaries</w:t>
      </w:r>
    </w:p>
    <w:p>
      <w:pPr>
        <w:pStyle w:val="Heading2"/>
      </w:pPr>
      <w:r>
        <w:t>3.1 Data Center Dynamics — Are data centers ready for “quantum in the cloud”?</w:t>
      </w:r>
    </w:p>
    <w:p>
      <w:r>
        <w:rPr>
          <w:b/>
        </w:rPr>
        <w:t xml:space="preserve">URL: </w:t>
      </w:r>
      <w:r>
        <w:t>https://www.datacenterdynamics.com/en/opinions/are-data-centers-ready-for-quantum-in-the-cloud/</w:t>
      </w:r>
    </w:p>
    <w:p>
      <w:r>
        <w:t>Industry opinion by Yonatan Cohen of Quantum Machines, published 22 July 2026; discusses the transition from experimental quantum infrastructure to a true cloud service.</w:t>
      </w:r>
    </w:p>
    <w:p>
      <w:pPr>
        <w:pStyle w:val="ListBullet"/>
      </w:pPr>
      <w:r>
        <w:t>Use it to examine integration between quantum control systems, classical compute, networking, software and cloud interfaces.</w:t>
      </w:r>
    </w:p>
    <w:p>
      <w:pPr>
        <w:pStyle w:val="ListBullet"/>
      </w:pPr>
      <w:r>
        <w:t>For QAI, investigate workload lifecycle, hybrid execution, backend observability, support boundaries and service-level definitions.</w:t>
      </w:r>
    </w:p>
    <w:p>
      <w:pPr>
        <w:pStyle w:val="ListBullet"/>
      </w:pPr>
      <w:r>
        <w:t>Limit: industry commentary, not an independent certification scheme or universal specification.</w:t>
      </w:r>
    </w:p>
    <w:p>
      <w:pPr>
        <w:pStyle w:val="Heading2"/>
      </w:pPr>
      <w:r>
        <w:t>3.2 arXiv — Towards A High-Performance Quantum Data Center Network Architecture (2509.09653)</w:t>
      </w:r>
    </w:p>
    <w:p>
      <w:r>
        <w:rPr>
          <w:b/>
        </w:rPr>
        <w:t xml:space="preserve">URL: </w:t>
      </w:r>
      <w:r>
        <w:t>https://arxiv.org/pdf/2509.09653</w:t>
      </w:r>
    </w:p>
    <w:p>
      <w:r>
        <w:t>Yufeng Xin and Liang Zhang; preprint dated 11 September 2025. Proposes a three-layer fat-tree network architecture for modular quantum data centres.</w:t>
      </w:r>
    </w:p>
    <w:p>
      <w:pPr>
        <w:pStyle w:val="ListBullet"/>
      </w:pPr>
      <w:r>
        <w:t>Focuses on scalability, entanglement distribution, switching and scheduling scarce quantum-memory/entangled-pair resources to mitigate decoherence.</w:t>
      </w:r>
    </w:p>
    <w:p>
      <w:pPr>
        <w:pStyle w:val="ListBullet"/>
      </w:pPr>
      <w:r>
        <w:t>Uses queueing models and NetSquid simulation; this is simulation evidence, not proof of commercial deployment.</w:t>
      </w:r>
    </w:p>
    <w:p>
      <w:pPr>
        <w:pStyle w:val="ListBullet"/>
      </w:pPr>
      <w:r>
        <w:t>Retain as a future research reference for quantum networking/distributed QPUs; not an immediate requirement for the virtual/classical-first platform.</w:t>
      </w:r>
    </w:p>
    <w:p>
      <w:pPr>
        <w:pStyle w:val="Heading2"/>
      </w:pPr>
      <w:r>
        <w:t>3.3 arXiv — Quantum Computing as a Service: a Software Engineering Perspective (2510.04982v1)</w:t>
      </w:r>
    </w:p>
    <w:p>
      <w:r>
        <w:rPr>
          <w:b/>
        </w:rPr>
        <w:t xml:space="preserve">URL: </w:t>
      </w:r>
      <w:r>
        <w:t>https://arxiv.org/html/2510.04982v1</w:t>
      </w:r>
    </w:p>
    <w:p>
      <w:r>
        <w:t>Research mapping study and architecture-based development paper proposing a four-phase QCaaS service-development lifecycle and layered reference architecture.</w:t>
      </w:r>
    </w:p>
    <w:p>
      <w:pPr>
        <w:pStyle w:val="ListBullet"/>
      </w:pPr>
      <w:r>
        <w:t>Four phases: service conception, service modelling, service assembly and service deployment. It covers requirements, quality attributes, modelling, patterns, implementation and deployment.</w:t>
      </w:r>
    </w:p>
    <w:p>
      <w:pPr>
        <w:pStyle w:val="ListBullet"/>
      </w:pPr>
      <w:r>
        <w:t>Highlights hybrid quantum-classical split patterns, service/API abstractions, reusable software-engineering knowledge and human roles.</w:t>
      </w:r>
    </w:p>
    <w:p>
      <w:pPr>
        <w:pStyle w:val="ListBullet"/>
      </w:pPr>
      <w:r>
        <w:t>Use for QAI service contracts, lifecycle artifacts and responsibility allocation. It is research, not a formal standard.</w:t>
      </w:r>
    </w:p>
    <w:p>
      <w:pPr>
        <w:pStyle w:val="Heading2"/>
      </w:pPr>
      <w:r>
        <w:t>3.4 Australian Government — Expectations of data centres and AI infrastructure developers</w:t>
      </w:r>
    </w:p>
    <w:p>
      <w:r>
        <w:rPr>
          <w:b/>
        </w:rPr>
        <w:t xml:space="preserve">URL: </w:t>
      </w:r>
      <w:r>
        <w:t>https://www.industry.gov.au/publications/expectations-data-centres-and-ai-infrastructure-developers</w:t>
      </w:r>
    </w:p>
    <w:p>
      <w:r>
        <w:t>Department of Industry, Science and Resources; announced 23 March 2026. Applies to new or expanded Australian developments, including large colocation, hyperscale and large-scale AI compute facilities; not small edge or on-site enterprise data centres.</w:t>
      </w:r>
    </w:p>
    <w:p>
      <w:pPr>
        <w:pStyle w:val="ListBullet"/>
      </w:pPr>
      <w:r>
        <w:t>Five areas: national interest; energy transition; sustainable water use; Australian skills/workforce; research, innovation and local capability.</w:t>
      </w:r>
    </w:p>
    <w:p>
      <w:pPr>
        <w:pStyle w:val="ListBullet"/>
      </w:pPr>
      <w:r>
        <w:t>Also stresses data sovereignty, national security, privacy, community engagement, utility coordination and existing legal obligations.</w:t>
      </w:r>
    </w:p>
    <w:p>
      <w:pPr>
        <w:pStyle w:val="ListBullet"/>
      </w:pPr>
      <w:r>
        <w:t>Use as an Australia-specific planning lens; applicability depends on actual project scale, location and delivery model.</w:t>
      </w:r>
    </w:p>
    <w:p>
      <w:pPr>
        <w:pStyle w:val="Heading2"/>
      </w:pPr>
      <w:r>
        <w:t>3.5 ASHRAE — AI Data Center Energy Performance Framework: Introduction and Purpose</w:t>
      </w:r>
    </w:p>
    <w:p>
      <w:r>
        <w:rPr>
          <w:b/>
        </w:rPr>
        <w:t xml:space="preserve">URL: </w:t>
      </w:r>
      <w:r>
        <w:t>https://www.ashrae.org/technical-resources/topics-and-initiatives/ai-data-center/introduction-and-purpose</w:t>
      </w:r>
    </w:p>
    <w:p>
      <w:r>
        <w:t>Guidance for owners, designers and project managers covering siting, integrated design, energy/thermal efficiency, grid interaction, resilience, commissioning, operations and retrofit.</w:t>
      </w:r>
    </w:p>
    <w:p>
      <w:pPr>
        <w:pStyle w:val="ListBullet"/>
      </w:pPr>
      <w:r>
        <w:t>Balances efficiency, resilience and high performance across the lifecycle.</w:t>
      </w:r>
    </w:p>
    <w:p>
      <w:pPr>
        <w:pStyle w:val="ListBullet"/>
      </w:pPr>
      <w:r>
        <w:t>Metrics include PUE, WUE, WUI, CUE, DCRE and IT work capacity/utilization; select metrics for the facility and use case.</w:t>
      </w:r>
    </w:p>
    <w:p>
      <w:pPr>
        <w:pStyle w:val="ListBullet"/>
      </w:pPr>
      <w:r>
        <w:t>Guidance does not itself supersede applicable codes or create mandatory requirements.</w:t>
      </w:r>
    </w:p>
    <w:p>
      <w:pPr>
        <w:pStyle w:val="Heading2"/>
      </w:pPr>
      <w:r>
        <w:t>3.6 International Data Center Authority — Data Center Standards / Infinity Paradigm</w:t>
      </w:r>
    </w:p>
    <w:p>
      <w:r>
        <w:rPr>
          <w:b/>
        </w:rPr>
        <w:t xml:space="preserve">URL: </w:t>
      </w:r>
      <w:r>
        <w:t>https://www.idc-a.org/data-center-standards</w:t>
      </w:r>
    </w:p>
    <w:p>
      <w:r>
        <w:t>IDCA describes AE360 / Infinity Paradigm as a holistic framework spanning application, platform, compute, IT infrastructure, facility infrastructure, site and topology.</w:t>
      </w:r>
    </w:p>
    <w:p>
      <w:pPr>
        <w:pStyle w:val="ListBullet"/>
      </w:pPr>
      <w:r>
        <w:t>Emphasizes cross-layer performance, operational risk, resilience, security, efficiency, capacity and maintainability, with grading and assessment services.</w:t>
      </w:r>
    </w:p>
    <w:p>
      <w:pPr>
        <w:pStyle w:val="ListBullet"/>
      </w:pPr>
      <w:r>
        <w:t>Its cross-layer view may help structure QAI risk and stakeholder assessments. Verify scope, assessment method, recognition and commercial terms directly with IDCA.</w:t>
      </w:r>
    </w:p>
    <w:p>
      <w:pPr>
        <w:pStyle w:val="ListBullet"/>
      </w:pPr>
      <w:r>
        <w:t>Do not imply equivalence to ISO certification or another scheme without checking exact scheme and accreditation.</w:t>
      </w:r>
    </w:p>
    <w:p>
      <w:pPr>
        <w:pStyle w:val="Heading2"/>
      </w:pPr>
      <w:r>
        <w:t>3.7 GovLoop / ViON — Data Center as-a-Service: The Gateway to Rapid IT Modernization</w:t>
      </w:r>
    </w:p>
    <w:p>
      <w:r>
        <w:rPr>
          <w:b/>
        </w:rPr>
        <w:t xml:space="preserve">URL: </w:t>
      </w:r>
      <w:r>
        <w:t>https://go.govloop.com/rs/231-DWB-776/images/Data-Center-as-a%20Service.pdf</w:t>
      </w:r>
    </w:p>
    <w:p>
      <w:r>
        <w:t>Eight-page market-trends report on government IT modernization and DCaaS, produced by GovLoop with ViON.</w:t>
      </w:r>
    </w:p>
    <w:p>
      <w:pPr>
        <w:pStyle w:val="ListBullet"/>
      </w:pPr>
      <w:r>
        <w:t>Describes consumption of compute, storage, network and related services, potentially including data management, protection, backup, recovery, archiving and analytics, reducing upfront infrastructure investment.</w:t>
      </w:r>
    </w:p>
    <w:p>
      <w:pPr>
        <w:pStyle w:val="ListBullet"/>
      </w:pPr>
      <w:r>
        <w:t>Highlights application/dependency inventory, migration planning, data location, disaster recovery, cost management and acquisition planning.</w:t>
      </w:r>
    </w:p>
    <w:p>
      <w:pPr>
        <w:pStyle w:val="ListBullet"/>
      </w:pPr>
      <w:r>
        <w:t>Includes historical US federal figures/examples from around 2016–2018; not current benchmarks or forecasts.</w:t>
      </w:r>
    </w:p>
    <w:p>
      <w:pPr>
        <w:pStyle w:val="Heading2"/>
      </w:pPr>
      <w:r>
        <w:t>3.8 Data Center Asia — What is Data Center as a Service (DCaaS)?</w:t>
      </w:r>
    </w:p>
    <w:p>
      <w:r>
        <w:rPr>
          <w:b/>
        </w:rPr>
        <w:t xml:space="preserve">URL: </w:t>
      </w:r>
      <w:r>
        <w:t>https://www.datacenter-asia.com/blog/what-is-data-center-as-a-service-dcaas/</w:t>
      </w:r>
    </w:p>
    <w:p>
      <w:r>
        <w:t>Industry explainer describing subscription-based access to hosted compute, storage and networking.</w:t>
      </w:r>
    </w:p>
    <w:p>
      <w:pPr>
        <w:pStyle w:val="ListBullet"/>
      </w:pPr>
      <w:r>
        <w:t>Emphasizes scalability, flexibility, consumption-based economics and reduced responsibility for owning/maintaining physical infrastructure.</w:t>
      </w:r>
    </w:p>
    <w:p>
      <w:pPr>
        <w:pStyle w:val="ListBullet"/>
      </w:pPr>
      <w:r>
        <w:t>Useful for plain-language positioning and discovery around subscription, capacity, support, security and service boundaries.</w:t>
      </w:r>
    </w:p>
    <w:p>
      <w:pPr>
        <w:pStyle w:val="ListBullet"/>
      </w:pPr>
      <w:r>
        <w:t>General explainer, not a formal standard or independent proof of provider performance.</w:t>
      </w:r>
    </w:p>
    <w:p>
      <w:pPr>
        <w:pStyle w:val="Heading1"/>
      </w:pPr>
      <w:r>
        <w:t>4. Other standards and claims in supplied notes</w:t>
      </w:r>
    </w:p>
    <w:p>
      <w:r>
        <w:t>The notes also mention IEEE P3404/P3404.1, IEEE Gold Book, NFPA codes, ISO/IEC 22237 / EN 50600, ISO 22301, ISO/IEC 27001, ISO/IEC 20000-1, NIST post-quantum cryptography, QKD, Open Compute Project, QSC/control systems, FPGA, vendor platforms and targets such as 99.999% uptime.</w:t>
      </w:r>
    </w:p>
    <w:p>
      <w:r>
        <w:t>Treat these as candidate research topics, not verified applicable requirements. Verify exact standard number/title, edition, scope, applicability, legal status, accreditation route and whether it applies to a facility, management system, product, network, cryptographic implementation or service contract.</w:t>
      </w:r>
    </w:p>
    <w:p>
      <w:r>
        <w:t>Do not promise five-nines availability by default. An SLA depends on service boundary, architecture, redundancy, maintenance windows, dependencies, measurement period, exclusions, incident handling and remedies. Remote QPU-provider availability is not fully controlled by Bhadale IT unless technically and contractually supported.</w:t>
      </w:r>
    </w:p>
    <w:p>
      <w:pPr>
        <w:pStyle w:val="Heading1"/>
      </w:pPr>
      <w:r>
        <w:t>5. Cross-source synthesis: implications for QAI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Capability</w:t>
            </w:r>
          </w:p>
        </w:tc>
        <w:tc>
          <w:tcPr>
            <w:tcW w:type="dxa" w:w="3360"/>
          </w:tcPr>
          <w:p>
            <w:r>
              <w:t>Source signal</w:t>
            </w:r>
          </w:p>
        </w:tc>
        <w:tc>
          <w:tcPr>
            <w:tcW w:type="dxa" w:w="3360"/>
          </w:tcPr>
          <w:p>
            <w:r>
              <w:t>QAI implication</w:t>
            </w:r>
          </w:p>
        </w:tc>
      </w:tr>
      <w:tr>
        <w:tc>
          <w:tcPr>
            <w:tcW w:type="dxa" w:w="3360"/>
          </w:tcPr>
          <w:p>
            <w:r>
              <w:t>Architecture/orchestration</w:t>
            </w:r>
          </w:p>
        </w:tc>
        <w:tc>
          <w:tcPr>
            <w:tcW w:type="dxa" w:w="3360"/>
          </w:tcPr>
          <w:p>
            <w:r>
              <w:t>Hybrid resources need coherent interfaces and lifecycle management.</w:t>
            </w:r>
          </w:p>
        </w:tc>
        <w:tc>
          <w:tcPr>
            <w:tcW w:type="dxa" w:w="3360"/>
          </w:tcPr>
          <w:p>
            <w:r>
              <w:t>Keep modular abstractions; define compatibility, discovery, planning, authorization and evidence.</w:t>
            </w:r>
          </w:p>
        </w:tc>
      </w:tr>
      <w:tr>
        <w:tc>
          <w:tcPr>
            <w:tcW w:type="dxa" w:w="3360"/>
          </w:tcPr>
          <w:p>
            <w:r>
              <w:t>Service engineering</w:t>
            </w:r>
          </w:p>
        </w:tc>
        <w:tc>
          <w:tcPr>
            <w:tcW w:type="dxa" w:w="3360"/>
          </w:tcPr>
          <w:p>
            <w:r>
              <w:t>QCaaS benefits from conception, modelling, assembly and deployment stages.</w:t>
            </w:r>
          </w:p>
        </w:tc>
        <w:tc>
          <w:tcPr>
            <w:tcW w:type="dxa" w:w="3360"/>
          </w:tcPr>
          <w:p>
            <w:r>
              <w:t>Define contracts, quality requirements, roles, artifacts and test gates.</w:t>
            </w:r>
          </w:p>
        </w:tc>
      </w:tr>
      <w:tr>
        <w:tc>
          <w:tcPr>
            <w:tcW w:type="dxa" w:w="3360"/>
          </w:tcPr>
          <w:p>
            <w:r>
              <w:t>Facility readiness</w:t>
            </w:r>
          </w:p>
        </w:tc>
        <w:tc>
          <w:tcPr>
            <w:tcW w:type="dxa" w:w="3360"/>
          </w:tcPr>
          <w:p>
            <w:r>
              <w:t>Energy, cooling, resilience, commissioning and operations matter across lifecycle.</w:t>
            </w:r>
          </w:p>
        </w:tc>
        <w:tc>
          <w:tcPr>
            <w:tcW w:type="dxa" w:w="3360"/>
          </w:tcPr>
          <w:p>
            <w:r>
              <w:t>Assess workload, facility, power, cooling, site and support before hardware procurement.</w:t>
            </w:r>
          </w:p>
        </w:tc>
      </w:tr>
      <w:tr>
        <w:tc>
          <w:tcPr>
            <w:tcW w:type="dxa" w:w="3360"/>
          </w:tcPr>
          <w:p>
            <w:r>
              <w:t>Sustainability/social licence</w:t>
            </w:r>
          </w:p>
        </w:tc>
        <w:tc>
          <w:tcPr>
            <w:tcW w:type="dxa" w:w="3360"/>
          </w:tcPr>
          <w:p>
            <w:r>
              <w:t>Energy, water, workforce, local capability, security and community matter in Australia.</w:t>
            </w:r>
          </w:p>
        </w:tc>
        <w:tc>
          <w:tcPr>
            <w:tcW w:type="dxa" w:w="3360"/>
          </w:tcPr>
          <w:p>
            <w:r>
              <w:t>Create jurisdiction-specific obligations and stakeholder-impact register.</w:t>
            </w:r>
          </w:p>
        </w:tc>
      </w:tr>
      <w:tr>
        <w:tc>
          <w:tcPr>
            <w:tcW w:type="dxa" w:w="3360"/>
          </w:tcPr>
          <w:p>
            <w:r>
              <w:t>Operational assurance</w:t>
            </w:r>
          </w:p>
        </w:tc>
        <w:tc>
          <w:tcPr>
            <w:tcW w:type="dxa" w:w="3360"/>
          </w:tcPr>
          <w:p>
            <w:r>
              <w:t>Cross-layer controls and measurable risk/performance build confidence.</w:t>
            </w:r>
          </w:p>
        </w:tc>
        <w:tc>
          <w:tcPr>
            <w:tcW w:type="dxa" w:w="3360"/>
          </w:tcPr>
          <w:p>
            <w:r>
              <w:t>Link requirements to controls, tests, metrics, owners and evidence.</w:t>
            </w:r>
          </w:p>
        </w:tc>
      </w:tr>
      <w:tr>
        <w:tc>
          <w:tcPr>
            <w:tcW w:type="dxa" w:w="3360"/>
          </w:tcPr>
          <w:p>
            <w:r>
              <w:t>Commercial model</w:t>
            </w:r>
          </w:p>
        </w:tc>
        <w:tc>
          <w:tcPr>
            <w:tcW w:type="dxa" w:w="3360"/>
          </w:tcPr>
          <w:p>
            <w:r>
              <w:t>DCaaS packages infrastructure/management as consumable services.</w:t>
            </w:r>
          </w:p>
        </w:tc>
        <w:tc>
          <w:tcPr>
            <w:tcW w:type="dxa" w:w="3360"/>
          </w:tcPr>
          <w:p>
            <w:r>
              <w:t>Define tiers, pricing units, boundaries, dependencies, lifecycle costs and customer duties.</w:t>
            </w:r>
          </w:p>
        </w:tc>
      </w:tr>
      <w:tr>
        <w:tc>
          <w:tcPr>
            <w:tcW w:type="dxa" w:w="3360"/>
          </w:tcPr>
          <w:p>
            <w:r>
              <w:t>Quantum readiness</w:t>
            </w:r>
          </w:p>
        </w:tc>
        <w:tc>
          <w:tcPr>
            <w:tcW w:type="dxa" w:w="3360"/>
          </w:tcPr>
          <w:p>
            <w:r>
              <w:t>Quantum networking/QPU behavior adds modality-specific constraints.</w:t>
            </w:r>
          </w:p>
        </w:tc>
        <w:tc>
          <w:tcPr>
            <w:tcW w:type="dxa" w:w="3360"/>
          </w:tcPr>
          <w:p>
            <w:r>
              <w:t>Start with simulation and partner/remote access; add local hardware when justified.</w:t>
            </w:r>
          </w:p>
        </w:tc>
      </w:tr>
    </w:tbl>
    <w:p>
      <w:pPr>
        <w:pStyle w:val="Heading1"/>
      </w:pPr>
      <w:r>
        <w:t>6. Proposed QAI maturity and stakeholder plan</w:t>
      </w:r>
    </w:p>
    <w:p>
      <w:pPr>
        <w:pStyle w:val="Heading2"/>
      </w:pPr>
      <w:r>
        <w:t>Phase 1 — Stabilize software control plane (current priority)</w:t>
      </w:r>
    </w:p>
    <w:p>
      <w:r>
        <w:t>Continue Phase 2 Deployment Operator. Review schemas/contracts; validate workload definitions, resource discovery, compatibility, planning, approvals, execution boundaries and evidence capture.</w:t>
      </w:r>
    </w:p>
    <w:p>
      <w:r>
        <w:rPr>
          <w:b/>
        </w:rPr>
        <w:t xml:space="preserve">Expected evidence: </w:t>
      </w:r>
      <w:r>
        <w:t>Tests, schema validation, repeatable scenarios, limitations, change log and acceptance criteria.</w:t>
      </w:r>
    </w:p>
    <w:p>
      <w:pPr>
        <w:pStyle w:val="Heading2"/>
      </w:pPr>
      <w:r>
        <w:t>Phase 2 — Virtual data-centre validation</w:t>
      </w:r>
    </w:p>
    <w:p>
      <w:r>
        <w:t>Test successful/rejected deployments, missing/incompatible resources, failures, authorization, repeatability and audit/evidence.</w:t>
      </w:r>
    </w:p>
    <w:p>
      <w:r>
        <w:rPr>
          <w:b/>
        </w:rPr>
        <w:t xml:space="preserve">Expected evidence: </w:t>
      </w:r>
      <w:r>
        <w:t>Test results, execution logs, compatibility results, failure scenarios and clear simulation/physical distinction.</w:t>
      </w:r>
    </w:p>
    <w:p>
      <w:pPr>
        <w:pStyle w:val="Heading2"/>
      </w:pPr>
      <w:r>
        <w:t>Phase 3 — Service management design</w:t>
      </w:r>
    </w:p>
    <w:p>
      <w:r>
        <w:t>Define catalogue, onboarding, roles, support, incident/problem/change management, maintenance, reporting, data handling, continuity and escalation.</w:t>
      </w:r>
    </w:p>
    <w:p>
      <w:r>
        <w:rPr>
          <w:b/>
        </w:rPr>
        <w:t xml:space="preserve">Expected evidence: </w:t>
      </w:r>
      <w:r>
        <w:t>Service descriptions, RACI, procedures, SLO/SLA definitions and customer-facing limitations.</w:t>
      </w:r>
    </w:p>
    <w:p>
      <w:pPr>
        <w:pStyle w:val="Heading2"/>
      </w:pPr>
      <w:r>
        <w:t>Phase 4 — Standards/compliance gap assessment</w:t>
      </w:r>
    </w:p>
    <w:p>
      <w:r>
        <w:t>Select candidate standards and jurisdictional expectations; map requirements to controls and gaps.</w:t>
      </w:r>
    </w:p>
    <w:p>
      <w:r>
        <w:rPr>
          <w:b/>
        </w:rPr>
        <w:t xml:space="preserve">Expected evidence: </w:t>
      </w:r>
      <w:r>
        <w:t>Applicability decisions, requirements-to-control matrix, risk register, gap owners and remediation plan.</w:t>
      </w:r>
    </w:p>
    <w:p>
      <w:pPr>
        <w:pStyle w:val="Heading2"/>
      </w:pPr>
      <w:r>
        <w:t>Phase 5 — Infrastructure/partner qualification</w:t>
      </w:r>
    </w:p>
    <w:p>
      <w:r>
        <w:t>Assess servers, storage, networking, GPU/HPC, FPGA and possible QPU/control connectivity; include site, power, cooling, security, support and lifecycle costs.</w:t>
      </w:r>
    </w:p>
    <w:p>
      <w:r>
        <w:rPr>
          <w:b/>
        </w:rPr>
        <w:t xml:space="preserve">Expected evidence: </w:t>
      </w:r>
      <w:r>
        <w:t>Architecture options, vendor criteria/quotes, total-cost scenarios, dependency map and procurement gate.</w:t>
      </w:r>
    </w:p>
    <w:p>
      <w:pPr>
        <w:pStyle w:val="Heading2"/>
      </w:pPr>
      <w:r>
        <w:t>Phase 6 — Controlled pilot/readiness review</w:t>
      </w:r>
    </w:p>
    <w:p>
      <w:r>
        <w:t>Run bounded pilot against agreed use cases and baselines; measure completion, performance, cost, incidents, recovery, evidence and user experience.</w:t>
      </w:r>
    </w:p>
    <w:p>
      <w:r>
        <w:rPr>
          <w:b/>
        </w:rPr>
        <w:t xml:space="preserve">Expected evidence: </w:t>
      </w:r>
      <w:r>
        <w:t>Pilot report, deviations, corrective actions, acceptance criteria, go/no-go decision and approved service scope.</w:t>
      </w:r>
    </w:p>
    <w:p>
      <w:pPr>
        <w:pStyle w:val="Heading2"/>
      </w:pPr>
      <w:r>
        <w:t>Phase 7 — Independent assurance/commercialization</w:t>
      </w:r>
    </w:p>
    <w:p>
      <w:r>
        <w:t>After scope stabilizes, decide whether facility assessment, management-system certification, product assurance or other schemes are warranted.</w:t>
      </w:r>
    </w:p>
    <w:p>
      <w:r>
        <w:rPr>
          <w:b/>
        </w:rPr>
        <w:t xml:space="preserve">Expected evidence: </w:t>
      </w:r>
      <w:r>
        <w:t>Assessor-confirmed scope, findings, corrective-action plan, service catalogue, commercial assumptions and claims register.</w:t>
      </w:r>
    </w:p>
    <w:p>
      <w:pPr>
        <w:pStyle w:val="Heading1"/>
      </w:pPr>
      <w:r>
        <w:t>7. Suggested stakeholder evidence pack</w:t>
      </w:r>
    </w:p>
    <w:p>
      <w:pPr>
        <w:pStyle w:val="ListBullet"/>
      </w:pPr>
      <w:r>
        <w:t>Architecture/scope: system context, service boundaries, deployment patterns, execution modes and exclusions.</w:t>
      </w:r>
    </w:p>
    <w:p>
      <w:pPr>
        <w:pStyle w:val="ListBullet"/>
      </w:pPr>
      <w:r>
        <w:t>Maturity register: implemented, tested, simulated, planned and hardware-qualified capabilities clearly distinguished.</w:t>
      </w:r>
    </w:p>
    <w:p>
      <w:pPr>
        <w:pStyle w:val="ListBullet"/>
      </w:pPr>
      <w:r>
        <w:t>Requirements/standards matrix: source, requirement, applicability, control owner, verification method, evidence, gap and target date.</w:t>
      </w:r>
    </w:p>
    <w:p>
      <w:pPr>
        <w:pStyle w:val="ListBullet"/>
      </w:pPr>
      <w:r>
        <w:t>Service operations: catalogue, RACI, incident/change procedures, support model, maintenance and escalation.</w:t>
      </w:r>
    </w:p>
    <w:p>
      <w:pPr>
        <w:pStyle w:val="ListBullet"/>
      </w:pPr>
      <w:r>
        <w:t>Quality/performance: test strategy, baselines, SLO/SLA definitions, observability, failure scenarios and recovery evidence.</w:t>
      </w:r>
    </w:p>
    <w:p>
      <w:pPr>
        <w:pStyle w:val="ListBullet"/>
      </w:pPr>
      <w:r>
        <w:t>Security/data governance: access control, tenant separation, sensitive data, logging, retention, sovereignty, supplier duties and incident response.</w:t>
      </w:r>
    </w:p>
    <w:p>
      <w:pPr>
        <w:pStyle w:val="ListBullet"/>
      </w:pPr>
      <w:r>
        <w:t>Infrastructure/sustainability: capacity, power, cooling, energy/water measures, resilience, commissioning and lifecycle assumptions.</w:t>
      </w:r>
    </w:p>
    <w:p>
      <w:pPr>
        <w:pStyle w:val="ListBullet"/>
      </w:pPr>
      <w:r>
        <w:t>Commercial/investment: work packages, milestones, CAPEX/OPEX, lifecycle costs, risk-adjusted scenarios and sensitivity analysis.</w:t>
      </w:r>
    </w:p>
    <w:p>
      <w:pPr>
        <w:pStyle w:val="ListBullet"/>
      </w:pPr>
      <w:r>
        <w:t>Claims register: what is demonstrated, simulated, third-party supplied, planned and not yet supportable.</w:t>
      </w:r>
    </w:p>
    <w:p>
      <w:pPr>
        <w:pStyle w:val="Heading1"/>
      </w:pPr>
      <w:r>
        <w:t>8. Candidate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Candidate measures (definitions and scope required)</w:t>
            </w:r>
          </w:p>
        </w:tc>
      </w:tr>
      <w:tr>
        <w:tc>
          <w:tcPr>
            <w:tcW w:type="dxa" w:w="5040"/>
          </w:tcPr>
          <w:p>
            <w:r>
              <w:t>Deployment lifecycle</w:t>
            </w:r>
          </w:p>
        </w:tc>
        <w:tc>
          <w:tcPr>
            <w:tcW w:type="dxa" w:w="5040"/>
          </w:tcPr>
          <w:p>
            <w:r>
              <w:t>Plan-generation success; correct compatibility/policy rejection; deployment success/failure; rollback/recovery; time to deploy; evidence completeness.</w:t>
            </w:r>
          </w:p>
        </w:tc>
      </w:tr>
      <w:tr>
        <w:tc>
          <w:tcPr>
            <w:tcW w:type="dxa" w:w="5040"/>
          </w:tcPr>
          <w:p>
            <w:r>
              <w:t>Service operations</w:t>
            </w:r>
          </w:p>
        </w:tc>
        <w:tc>
          <w:tcPr>
            <w:tcW w:type="dxa" w:w="5040"/>
          </w:tcPr>
          <w:p>
            <w:r>
              <w:t>Availability within defined boundary; incident response/resolution; change success; support response; maintenance adherence; customer-reported quality.</w:t>
            </w:r>
          </w:p>
        </w:tc>
      </w:tr>
      <w:tr>
        <w:tc>
          <w:tcPr>
            <w:tcW w:type="dxa" w:w="5040"/>
          </w:tcPr>
          <w:p>
            <w:r>
              <w:t>Classical/AI infrastructure</w:t>
            </w:r>
          </w:p>
        </w:tc>
        <w:tc>
          <w:tcPr>
            <w:tcW w:type="dxa" w:w="5040"/>
          </w:tcPr>
          <w:p>
            <w:r>
              <w:t>Utilization, throughput/latency, capacity headroom, storage/network performance, power use and cost per workload.</w:t>
            </w:r>
          </w:p>
        </w:tc>
      </w:tr>
      <w:tr>
        <w:tc>
          <w:tcPr>
            <w:tcW w:type="dxa" w:w="5040"/>
          </w:tcPr>
          <w:p>
            <w:r>
              <w:t>Facility/sustainability</w:t>
            </w:r>
          </w:p>
        </w:tc>
        <w:tc>
          <w:tcPr>
            <w:tcW w:type="dxa" w:w="5040"/>
          </w:tcPr>
          <w:p>
            <w:r>
              <w:t>PUE, WUE/WUI, CUE or other relevant measures where scope/data permit; resilience, commissioning and maintenance findings.</w:t>
            </w:r>
          </w:p>
        </w:tc>
      </w:tr>
      <w:tr>
        <w:tc>
          <w:tcPr>
            <w:tcW w:type="dxa" w:w="5040"/>
          </w:tcPr>
          <w:p>
            <w:r>
              <w:t>Quantum workloads</w:t>
            </w:r>
          </w:p>
        </w:tc>
        <w:tc>
          <w:tcPr>
            <w:tcW w:type="dxa" w:w="5040"/>
          </w:tcPr>
          <w:p>
            <w:r>
              <w:t>Queue time, job completion/failure, backend availability/calibration where exposed, repeatability, cost per job/shot and classical-baseline comparison.</w:t>
            </w:r>
          </w:p>
        </w:tc>
      </w:tr>
      <w:tr>
        <w:tc>
          <w:tcPr>
            <w:tcW w:type="dxa" w:w="5040"/>
          </w:tcPr>
          <w:p>
            <w:r>
              <w:t>Commercial outcomes</w:t>
            </w:r>
          </w:p>
        </w:tc>
        <w:tc>
          <w:tcPr>
            <w:tcW w:type="dxa" w:w="5040"/>
          </w:tcPr>
          <w:p>
            <w:r>
              <w:t>Cost variance, milestone completion, customer acceptance, onboarding time, unit economics and customer outcomes.</w:t>
            </w:r>
          </w:p>
        </w:tc>
      </w:tr>
    </w:tbl>
    <w:p>
      <w:pPr>
        <w:pStyle w:val="Heading1"/>
      </w:pPr>
      <w:r>
        <w:t>9. Stakeholder decisions and open questions</w:t>
      </w:r>
    </w:p>
    <w:p>
      <w:pPr>
        <w:pStyle w:val="ListBullet"/>
      </w:pPr>
      <w:r>
        <w:t>What is the first service to prove: virtual deployment control, managed classical/AI infrastructure, hybrid quantum workflow orchestration, or advisory/engineering?</w:t>
      </w:r>
    </w:p>
    <w:p>
      <w:pPr>
        <w:pStyle w:val="ListBullet"/>
      </w:pPr>
      <w:r>
        <w:t>Which customer segment and jurisdiction define the first service boundary and standards review?</w:t>
      </w:r>
    </w:p>
    <w:p>
      <w:pPr>
        <w:pStyle w:val="ListBullet"/>
      </w:pPr>
      <w:r>
        <w:t>Will infrastructure be owned, leased, colocated, cloud-provided or accessed through qualified partners?</w:t>
      </w:r>
    </w:p>
    <w:p>
      <w:pPr>
        <w:pStyle w:val="ListBullet"/>
      </w:pPr>
      <w:r>
        <w:t>Which workloads justify local GPU/HPC/FPGA or QPU investment, and what evidence is needed before procurement?</w:t>
      </w:r>
    </w:p>
    <w:p>
      <w:pPr>
        <w:pStyle w:val="ListBullet"/>
      </w:pPr>
      <w:r>
        <w:t>What availability and support commitments can be measured and contractually controlled?</w:t>
      </w:r>
    </w:p>
    <w:p>
      <w:pPr>
        <w:pStyle w:val="ListBullet"/>
      </w:pPr>
      <w:r>
        <w:t>Which independent standards/certifications are needed for the target market, customer, facility and operating model?</w:t>
      </w:r>
    </w:p>
    <w:p>
      <w:pPr>
        <w:pStyle w:val="ListBullet"/>
      </w:pPr>
      <w:r>
        <w:t>Who owns each control, evidence artifact, operational duty, supplier dependency and acceptance decision?</w:t>
      </w:r>
    </w:p>
    <w:p>
      <w:pPr>
        <w:pStyle w:val="Heading1"/>
      </w:pPr>
      <w:r>
        <w:t>10. Recommended immediate actions</w:t>
      </w:r>
    </w:p>
    <w:p>
      <w:pPr>
        <w:pStyle w:val="ListNumber"/>
      </w:pPr>
      <w:r>
        <w:t>Keep Phase 2 Deployment Operator as the active engineering priority.</w:t>
      </w:r>
    </w:p>
    <w:p>
      <w:pPr>
        <w:pStyle w:val="ListNumber"/>
      </w:pPr>
      <w:r>
        <w:t>Add an assurance matrix to the existing QAI engineering/documentation structure rather than creating a parallel framework.</w:t>
      </w:r>
    </w:p>
    <w:p>
      <w:pPr>
        <w:pStyle w:val="ListNumber"/>
      </w:pPr>
      <w:r>
        <w:t>Use the QCaaS software-engineering paper for lifecycle artifacts; retain the quantum network paper as a future research input.</w:t>
      </w:r>
    </w:p>
    <w:p>
      <w:pPr>
        <w:pStyle w:val="ListNumber"/>
      </w:pPr>
      <w:r>
        <w:t>Use ASHRAE and Australian Government expectations as planning lenses; evaluate IDCA as a candidate framework, not an assumed requirement.</w:t>
      </w:r>
    </w:p>
    <w:p>
      <w:pPr>
        <w:pStyle w:val="ListNumber"/>
      </w:pPr>
      <w:r>
        <w:t>Separate near-term virtual/software assurance from later physical-facility assessment and independent certification.</w:t>
      </w:r>
    </w:p>
    <w:p>
      <w:pPr>
        <w:pStyle w:val="ListNumber"/>
      </w:pPr>
      <w:r>
        <w:t>Before external circulation, review scope, claims, standards applicability and source currency with technical, security, facilities and legal/compliance specialists.</w:t>
      </w:r>
    </w:p>
    <w:p>
      <w:pPr>
        <w:pStyle w:val="Heading1"/>
      </w:pPr>
      <w:r>
        <w:t>11. Reference list</w:t>
      </w:r>
    </w:p>
    <w:p>
      <w:pPr>
        <w:pStyle w:val="ListBullet"/>
      </w:pPr>
      <w:r>
        <w:rPr>
          <w:b/>
        </w:rPr>
        <w:t xml:space="preserve">Data Center Dynamics — Are data centers ready for quantum in the cloud?: </w:t>
      </w:r>
      <w:r>
        <w:t>https://www.datacenterdynamics.com/en/opinions/are-data-centers-ready-for-quantum-in-the-cloud/</w:t>
      </w:r>
    </w:p>
    <w:p>
      <w:pPr>
        <w:pStyle w:val="ListBullet"/>
      </w:pPr>
      <w:r>
        <w:rPr>
          <w:b/>
        </w:rPr>
        <w:t xml:space="preserve">Xin &amp; Zhang — Towards A High-Performance Quantum Data Center Network Architecture: </w:t>
      </w:r>
      <w:r>
        <w:t>https://arxiv.org/pdf/2509.09653</w:t>
      </w:r>
    </w:p>
    <w:p>
      <w:pPr>
        <w:pStyle w:val="ListBullet"/>
      </w:pPr>
      <w:r>
        <w:rPr>
          <w:b/>
        </w:rPr>
        <w:t xml:space="preserve">Ahmad et al. — Quantum Computing as a Service: a Software Engineering Perspective: </w:t>
      </w:r>
      <w:r>
        <w:t>https://arxiv.org/html/2510.04982v1</w:t>
      </w:r>
    </w:p>
    <w:p>
      <w:pPr>
        <w:pStyle w:val="ListBullet"/>
      </w:pPr>
      <w:r>
        <w:rPr>
          <w:b/>
        </w:rPr>
        <w:t xml:space="preserve">Australian Government — Expectations of data centres and AI infrastructure developers: </w:t>
      </w:r>
      <w:r>
        <w:t>https://www.industry.gov.au/publications/expectations-data-centres-and-ai-infrastructure-developers</w:t>
      </w:r>
    </w:p>
    <w:p>
      <w:pPr>
        <w:pStyle w:val="ListBullet"/>
      </w:pPr>
      <w:r>
        <w:rPr>
          <w:b/>
        </w:rPr>
        <w:t xml:space="preserve">ASHRAE — AI Data Center Energy Performance Framework: </w:t>
      </w:r>
      <w:r>
        <w:t>https://www.ashrae.org/technical-resources/topics-and-initiatives/ai-data-center/introduction-and-purpose</w:t>
      </w:r>
    </w:p>
    <w:p>
      <w:pPr>
        <w:pStyle w:val="ListBullet"/>
      </w:pPr>
      <w:r>
        <w:rPr>
          <w:b/>
        </w:rPr>
        <w:t xml:space="preserve">International Data Center Authority — Data Center Standards: </w:t>
      </w:r>
      <w:r>
        <w:t>https://www.idc-a.org/data-center-standards</w:t>
      </w:r>
    </w:p>
    <w:p>
      <w:pPr>
        <w:pStyle w:val="ListBullet"/>
      </w:pPr>
      <w:r>
        <w:rPr>
          <w:b/>
        </w:rPr>
        <w:t xml:space="preserve">GovLoop / ViON — Data Center as-a-Service report: </w:t>
      </w:r>
      <w:r>
        <w:t>https://go.govloop.com/rs/231-DWB-776/images/Data-Center-as-a%20Service.pdf</w:t>
      </w:r>
    </w:p>
    <w:p>
      <w:pPr>
        <w:pStyle w:val="ListBullet"/>
      </w:pPr>
      <w:r>
        <w:rPr>
          <w:b/>
        </w:rPr>
        <w:t xml:space="preserve">Data Center Asia — What is DCaaS?: </w:t>
      </w:r>
      <w:r>
        <w:t>https://www.datacenter-asia.com/blog/what-is-data-center-as-a-service-dcaas/</w:t>
      </w:r>
    </w:p>
    <w:p>
      <w:pPr>
        <w:pStyle w:val="Heading1"/>
      </w:pPr>
      <w:r>
        <w:t>12. Limitations and use</w:t>
      </w:r>
    </w:p>
    <w:p>
      <w:pPr>
        <w:pStyle w:val="ListBullet"/>
      </w:pPr>
      <w:r>
        <w:t>This is a planning research brief, not legal advice, a conformity assessment, a certification decision or an engineering design.</w:t>
      </w:r>
    </w:p>
    <w:p>
      <w:pPr>
        <w:pStyle w:val="ListBullet"/>
      </w:pPr>
      <w:r>
        <w:t>Sources vary in authority and purpose; research, commentary, vendor-associated material and government expectations are not equivalent.</w:t>
      </w:r>
    </w:p>
    <w:p>
      <w:pPr>
        <w:pStyle w:val="ListBullet"/>
      </w:pPr>
      <w:r>
        <w:t>Standards applicability depends on service scope, jurisdiction, facility design, contracts, data types and customer requirements.</w:t>
      </w:r>
    </w:p>
    <w:p>
      <w:pPr>
        <w:pStyle w:val="ListBullet"/>
      </w:pPr>
      <w:r>
        <w:t>No claim is made that Bhadale IT’s current platform is physically certified, production-ready, hardware-qualified or capable of guaranteed quantum advantage.</w:t>
      </w:r>
    </w:p>
    <w:p>
      <w:pPr>
        <w:pStyle w:val="ListBullet"/>
      </w:pPr>
      <w:r>
        <w:t>Returns, availability, energy/water outcomes and performance must be modelled and verified against explicit assumptions and measured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Working research brief | 17 October 2026 | Planning and stakeholder discussion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BHADALE IT | QAI DATA CENTER SERVICE MATURITY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