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HoldCo Vision — National Capabilities and Economic Growth Model</w:t>
      </w:r>
    </w:p>
    <w:p>
      <w:pPr>
        <w:jc w:val="center"/>
      </w:pPr>
      <w:r>
        <w:rPr>
          <w:i/>
        </w:rPr>
        <w:t>Vision and operating proposition</w:t>
      </w:r>
    </w:p>
    <w:p>
      <w:pPr>
        <w:pStyle w:val="Heading1"/>
      </w:pPr>
      <w:r>
        <w:t>1. Proposed HoldCo Vision</w:t>
      </w:r>
    </w:p>
    <w:p>
      <w:r>
        <w:rPr>
          <w:b/>
        </w:rPr>
        <w:t>Our vision is to help governments, public institutions and private organisations unlock the economic value of national capabilities and assets by making them more discoverable, connectable, deployable and reusable.</w:t>
      </w:r>
    </w:p>
    <w:p>
      <w:r>
        <w:t>HoldCo provides the ecosystem, technology, governance and operating mechanisms that connect people, intellectual property, infrastructure, technology, capital, organisations and projects — enabling the right capabilities to be assembled around validated economic and public outcomes.</w:t>
      </w:r>
    </w:p>
    <w:p>
      <w:r>
        <w:t>We aim to transform fragmented and under-utilised capabilities into productive ecosystems that can support innovation, regional development, new businesses, employment, investment and sustainable economic growth.</w:t>
      </w:r>
    </w:p>
    <w:p>
      <w:pPr>
        <w:pStyle w:val="Heading1"/>
      </w:pPr>
      <w:r>
        <w:t>2. Short Pitch</w:t>
      </w:r>
    </w:p>
    <w:p>
      <w:r>
        <w:rPr>
          <w:b/>
        </w:rPr>
        <w:t>HoldCo helps turn national capabilities and assets into economic opportunity.</w:t>
      </w:r>
    </w:p>
    <w:p>
      <w:r>
        <w:t>We connect people + IP + technology + infrastructure + capital + organisations + projects so that existing capabilities can be discovered, combined and deployed where they create the greatest validated value.</w:t>
      </w:r>
    </w:p>
    <w:p>
      <w:pPr>
        <w:pStyle w:val="Heading1"/>
      </w:pPr>
      <w:r>
        <w:t>3. Core Operating Principle</w:t>
      </w:r>
    </w:p>
    <w:p>
      <w:pPr>
        <w:pStyle w:val="ListBullet"/>
      </w:pPr>
      <w:r>
        <w:t>Centralise what should be common.</w:t>
      </w:r>
    </w:p>
    <w:p>
      <w:pPr>
        <w:pStyle w:val="ListBullet"/>
      </w:pPr>
      <w:r>
        <w:t>Virtualise what can be virtualised.</w:t>
      </w:r>
    </w:p>
    <w:p>
      <w:pPr>
        <w:pStyle w:val="ListBullet"/>
      </w:pPr>
      <w:r>
        <w:t>Dynamically allocate what is scarce.</w:t>
      </w:r>
    </w:p>
    <w:p>
      <w:pPr>
        <w:pStyle w:val="ListBullet"/>
      </w:pPr>
      <w:r>
        <w:t>Localise what the project requires.</w:t>
      </w:r>
    </w:p>
    <w:p>
      <w:pPr>
        <w:pStyle w:val="ListBullet"/>
      </w:pPr>
      <w:r>
        <w:t>Reuse what has already been built.</w:t>
      </w:r>
    </w:p>
    <w:p>
      <w:pPr>
        <w:pStyle w:val="Heading1"/>
      </w:pPr>
      <w:r>
        <w:t>4. From the Traditional Model to the HoldCo Model</w:t>
      </w:r>
    </w:p>
    <w:tbl>
      <w:tblPr>
        <w:tblStyle w:val="TableGrid"/>
        <w:tblW w:type="auto" w:w="0"/>
        <w:tblLook w:firstColumn="1" w:firstRow="1" w:lastColumn="0" w:lastRow="0" w:noHBand="0" w:noVBand="1" w:val="04A0"/>
      </w:tblPr>
      <w:tblGrid>
        <w:gridCol w:w="4968"/>
        <w:gridCol w:w="4968"/>
      </w:tblGrid>
      <w:tr>
        <w:tc>
          <w:tcPr>
            <w:tcW w:type="dxa" w:w="4968"/>
          </w:tcPr>
          <w:p>
            <w:r>
              <w:t>Traditional model</w:t>
            </w:r>
          </w:p>
        </w:tc>
        <w:tc>
          <w:tcPr>
            <w:tcW w:type="dxa" w:w="4968"/>
          </w:tcPr>
          <w:p>
            <w:r>
              <w:t>HoldCo model</w:t>
            </w:r>
          </w:p>
        </w:tc>
      </w:tr>
      <w:tr>
        <w:tc>
          <w:tcPr>
            <w:tcW w:type="dxa" w:w="4968"/>
          </w:tcPr>
          <w:p>
            <w:r>
              <w:t>Organisation</w:t>
            </w:r>
          </w:p>
        </w:tc>
        <w:tc>
          <w:tcPr>
            <w:tcW w:type="dxa" w:w="4968"/>
          </w:tcPr>
          <w:p>
            <w:r>
              <w:t>National / market need</w:t>
            </w:r>
          </w:p>
        </w:tc>
      </w:tr>
      <w:tr>
        <w:tc>
          <w:tcPr>
            <w:tcW w:type="dxa" w:w="4968"/>
          </w:tcPr>
          <w:p>
            <w:r>
              <w:t>Departments</w:t>
            </w:r>
          </w:p>
        </w:tc>
        <w:tc>
          <w:tcPr>
            <w:tcW w:type="dxa" w:w="4968"/>
          </w:tcPr>
          <w:p>
            <w:r>
              <w:t>Capability discovery and ecosystem assembly</w:t>
            </w:r>
          </w:p>
        </w:tc>
      </w:tr>
      <w:tr>
        <w:tc>
          <w:tcPr>
            <w:tcW w:type="dxa" w:w="4968"/>
          </w:tcPr>
          <w:p>
            <w:r>
              <w:t>Permanent assets</w:t>
            </w:r>
          </w:p>
        </w:tc>
        <w:tc>
          <w:tcPr>
            <w:tcW w:type="dxa" w:w="4968"/>
          </w:tcPr>
          <w:p>
            <w:r>
              <w:t>Shared and dynamically allocated resources</w:t>
            </w:r>
          </w:p>
        </w:tc>
      </w:tr>
      <w:tr>
        <w:tc>
          <w:tcPr>
            <w:tcW w:type="dxa" w:w="4968"/>
          </w:tcPr>
          <w:p>
            <w:r>
              <w:t>Permanent staff</w:t>
            </w:r>
          </w:p>
        </w:tc>
        <w:tc>
          <w:tcPr>
            <w:tcW w:type="dxa" w:w="4968"/>
          </w:tcPr>
          <w:p>
            <w:r>
              <w:t>Pre-verified specialist capability pools</w:t>
            </w:r>
          </w:p>
        </w:tc>
      </w:tr>
      <w:tr>
        <w:tc>
          <w:tcPr>
            <w:tcW w:type="dxa" w:w="4968"/>
          </w:tcPr>
          <w:p>
            <w:r>
              <w:t>Projects</w:t>
            </w:r>
          </w:p>
        </w:tc>
        <w:tc>
          <w:tcPr>
            <w:tcW w:type="dxa" w:w="4968"/>
          </w:tcPr>
          <w:p>
            <w:r>
              <w:t>Validated outcomes and project-specific delivery units</w:t>
            </w:r>
          </w:p>
        </w:tc>
      </w:tr>
    </w:tbl>
    <w:p>
      <w:r>
        <w:rPr>
          <w:b/>
        </w:rPr>
        <w:t>Traditional model: Organisation → Departments → Permanent Assets → Permanent Staff → Projects</w:t>
      </w:r>
    </w:p>
    <w:p>
      <w:r>
        <w:rPr>
          <w:b/>
        </w:rPr>
        <w:t>HoldCo model: National / Market Need → Opportunity → Capability Discovery → Ecosystem Assembly → Project → Resource Allocation → Outcome → Reuse / Scale</w:t>
      </w:r>
    </w:p>
    <w:p>
      <w:pPr>
        <w:pStyle w:val="Heading1"/>
      </w:pPr>
      <w:r>
        <w:t>5. HoldCo as a Capability-to-Outcome Orchestration Layer</w:t>
      </w:r>
    </w:p>
    <w:p>
      <w:r>
        <w:t>The HoldCo is positioned not simply as an owner of subsidiaries, projects or assets, but as a capability-to-outcome orchestration layer. It can provide mechanisms for connecting available capabilities with validated public, industry and market needs.</w:t>
      </w:r>
    </w:p>
    <w:p>
      <w:pPr>
        <w:pStyle w:val="ListBullet"/>
      </w:pPr>
      <w:r>
        <w:t>People and specialist expertise</w:t>
      </w:r>
    </w:p>
    <w:p>
      <w:pPr>
        <w:pStyle w:val="ListBullet"/>
      </w:pPr>
      <w:r>
        <w:t>Intellectual property and know-how</w:t>
      </w:r>
    </w:p>
    <w:p>
      <w:pPr>
        <w:pStyle w:val="ListBullet"/>
      </w:pPr>
      <w:r>
        <w:t>Digital and physical infrastructure</w:t>
      </w:r>
    </w:p>
    <w:p>
      <w:pPr>
        <w:pStyle w:val="ListBullet"/>
      </w:pPr>
      <w:r>
        <w:t>Technology and software-defined resources</w:t>
      </w:r>
    </w:p>
    <w:p>
      <w:pPr>
        <w:pStyle w:val="ListBullet"/>
      </w:pPr>
      <w:r>
        <w:t>Capital and investment</w:t>
      </w:r>
    </w:p>
    <w:p>
      <w:pPr>
        <w:pStyle w:val="ListBullet"/>
      </w:pPr>
      <w:r>
        <w:t>Organisations and delivery partners</w:t>
      </w:r>
    </w:p>
    <w:p>
      <w:pPr>
        <w:pStyle w:val="ListBullet"/>
      </w:pPr>
      <w:r>
        <w:t>Projects, programs and market opportunities</w:t>
      </w:r>
    </w:p>
    <w:p>
      <w:pPr>
        <w:pStyle w:val="Heading1"/>
      </w:pPr>
      <w:r>
        <w:t>6. Government and Public-Sector Application</w:t>
      </w:r>
    </w:p>
    <w:p>
      <w:r>
        <w:t>The model can provide a basis for exploring new approaches to government capability development and public-private partnership. A government agency may have a defined problem, funding mechanism and desired outcome without needing to establish a permanent organisation for every temporary capability requirement.</w:t>
      </w:r>
    </w:p>
    <w:p>
      <w:r>
        <w:t>The required expertise, IP, technology, infrastructure, partners and delivery capacity could potentially be assembled around a defined outcome, subject to appropriate procurement, funding, governance, security, professional and legal requirements.</w:t>
      </w:r>
    </w:p>
    <w:p>
      <w:pPr>
        <w:pStyle w:val="Heading1"/>
      </w:pPr>
      <w:r>
        <w:t>7. Economic Proposition</w:t>
      </w:r>
    </w:p>
    <w:p>
      <w:r>
        <w:t>The economic hypothesis is that better discovery, matching and utilisation of existing tangible and intangible capabilities can reduce duplication, shorten mobilisation time and potentially increase the productive output generated from public and private investment.</w:t>
      </w:r>
    </w:p>
    <w:p>
      <w:r>
        <w:t>This is a proposition to be tested through reference implementations, pilots and measurable outcomes rather than a claim of guaranteed economic impact.</w:t>
      </w:r>
    </w:p>
    <w:p>
      <w:pPr>
        <w:pStyle w:val="Heading1"/>
      </w:pPr>
      <w:r>
        <w:t>8. Relationship to the HoldCo Architecture</w:t>
      </w:r>
    </w:p>
    <w:p>
      <w:pPr>
        <w:pStyle w:val="ListBullet"/>
      </w:pPr>
      <w:r>
        <w:t>Dynamic Project Subsidiary and Shared Capability Model — creates project-specific operational capacity.</w:t>
      </w:r>
    </w:p>
    <w:p>
      <w:pPr>
        <w:pStyle w:val="ListBullet"/>
      </w:pPr>
      <w:r>
        <w:t>Shared Asset Pool — provides reusable HoldCo-owned and partner resources.</w:t>
      </w:r>
    </w:p>
    <w:p>
      <w:pPr>
        <w:pStyle w:val="ListBullet"/>
      </w:pPr>
      <w:r>
        <w:t>Capability Registry — makes people, IP, technology, infrastructure and partners discoverable.</w:t>
      </w:r>
    </w:p>
    <w:p>
      <w:pPr>
        <w:pStyle w:val="ListBullet"/>
      </w:pPr>
      <w:r>
        <w:t>QAI / FAEP platforms — provide digital orchestration and ecosystem execution capabilities.</w:t>
      </w:r>
    </w:p>
    <w:p>
      <w:pPr>
        <w:pStyle w:val="ListBullet"/>
      </w:pPr>
      <w:r>
        <w:t>Reference Implementations — demonstrate repeatable patterns without duplicating deep engineering repositories.</w:t>
      </w:r>
    </w:p>
    <w:p>
      <w:pPr>
        <w:pStyle w:val="ListBullet"/>
      </w:pPr>
      <w:r>
        <w:t>Portfolio Governance — determines where resources and investment should be focused.</w:t>
      </w:r>
    </w:p>
    <w:p>
      <w:pPr>
        <w:pStyle w:val="Heading1"/>
      </w:pPr>
      <w:r>
        <w:t>9. Strategic Positioning Statement</w:t>
      </w:r>
    </w:p>
    <w:p>
      <w:r>
        <w:rPr>
          <w:b/>
        </w:rPr>
        <w:t>HoldCo seeks to build an ecosystem in which national and organisational capabilities can be discovered, connected, deployed and reused around validated outcomes — helping convert existing assets, knowledge and investment into new economic opportunity.</w:t>
      </w:r>
    </w:p>
    <w:p>
      <w:pPr>
        <w:pStyle w:val="Heading1"/>
      </w:pPr>
      <w:r>
        <w:t>10. Important Qualification</w:t>
      </w:r>
    </w:p>
    <w:p>
      <w:r>
        <w:t>The HoldCo model is a strategic and operating proposition. It should not be presented as government endorsement, government adoption, guaranteed funding, guaranteed procurement, guaranteed economic growth, or guaranteed commercial returns. Any government or public-sector implementation would remain subject to applicable procurement, funding, governance, security, privacy, employment, professional-registration, tax, IP and jurisdictional requirements.</w:t>
      </w:r>
    </w:p>
    <w:p>
      <w:pPr>
        <w:pStyle w:val="Heading1"/>
      </w:pPr>
      <w:r>
        <w:t>11. Vision in One Sentence</w:t>
      </w:r>
    </w:p>
    <w:p>
      <w:r>
        <w:rPr>
          <w:b/>
        </w:rPr>
        <w:t>Help governments, public institutions and private organisations turn national capabilities and assets into productive economic opportunity by making them discoverable, connectable, deployable and reusable.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