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QAI Value Proposition &amp; Sustainable Business Model</w:t>
      </w:r>
    </w:p>
    <w:p>
      <w:pPr>
        <w:jc w:val="center"/>
      </w:pPr>
      <w:r>
        <w:rPr>
          <w:i/>
        </w:rPr>
        <w:t>Integrated IP • Technology Independence • Resilient Growth • Resident Value • Export Potential</w:t>
      </w:r>
    </w:p>
    <w:p>
      <w:pPr>
        <w:pStyle w:val="Heading1"/>
      </w:pPr>
      <w:r>
        <w:t>1. Executive Investment Thesis</w:t>
      </w:r>
    </w:p>
    <w:p>
      <w:r>
        <w:t>QAI is conceived as a long-term technology company built around a substantial internally developed intellectual-property portfolio, product platforms and a continuous R&amp;D-to-commercialization lifecycle. The core proposition is to convert proprietary IP into practical products and services while progressively reducing critical external dependencies. The investment opportunity is therefore broader than individual patent returns: it is the potential development of an integrated technology ecosystem combining IP, R&amp;D, products, skilled people, markets and reinvestment capacity across multiple technology generations.</w:t>
      </w:r>
    </w:p>
    <w:p>
      <w:pPr>
        <w:pStyle w:val="Heading1"/>
      </w:pPr>
      <w:r>
        <w:t>2. Integrated IP Utilisation</w:t>
      </w:r>
    </w:p>
    <w:p>
      <w:r>
        <w:t>A central feature of the QAI model is the strategic internal utilisation of its own intellectual property. Rather than treating patents primarily as assets to be licensed externally, the company can progressively consume and integrate its own IP into products, platforms, infrastructure and operational capabilities. Where technically and commercially practical, this can reduce dependence on external technologies, third-party licensing and recurring royalty obligations.</w:t>
      </w:r>
    </w:p>
    <w:p>
      <w:pPr>
        <w:pStyle w:val="Heading1"/>
      </w:pPr>
      <w:r>
        <w:t>3. Strategic Independence Without Isolation</w:t>
      </w:r>
    </w:p>
    <w:p>
      <w:r>
        <w:t>The objective is not to eliminate external suppliers or partners. External technologies, manufacturers and service providers can remain valuable where they provide economic, technical or commercial advantages. The objective is to maintain strategic independence in critical technology layers and avoid excessive reliance on single points of failure.</w:t>
      </w:r>
    </w:p>
    <w:p>
      <w:pPr>
        <w:pStyle w:val="Heading1"/>
      </w:pPr>
      <w:r>
        <w:t>4. Self-Reinforcing Technology Cycle</w:t>
      </w:r>
    </w:p>
    <w:p>
      <w:r>
        <w:t>Own IP → Internal Technology → Products → Revenue → R&amp;D Investment → New IP → Next-Generation Products. Successful products can support continued research and product development, while operational experience feeds directly into subsequent technology generations.</w:t>
      </w:r>
    </w:p>
    <w:p>
      <w:pPr>
        <w:pStyle w:val="Heading1"/>
      </w:pPr>
      <w:r>
        <w:t>5. Technology Maturity and Long-Term Capital Recovery</w:t>
      </w:r>
    </w:p>
    <w:p>
      <w:r>
        <w:t>QAI technologies can progress from research and proof of concept through validation, productization, deployment and next-generation improvement. This supports progressive capital deployment and multiple potential recovery points. Earlier-stage IP can support long-term R&amp;D while mature technologies generate commercial revenue, licensing opportunities or strategic value that can contribute to cost recovery and reinvestment.</w:t>
      </w:r>
    </w:p>
    <w:p>
      <w:pPr>
        <w:pStyle w:val="Heading1"/>
      </w:pPr>
      <w:r>
        <w:t>6. Resident-Centred Economic Value</w:t>
      </w:r>
    </w:p>
    <w:p>
      <w:r>
        <w:t>The commercial objective can be aligned with a broader economic objective: developing technology capability that creates practical value for residents and domestic industry while creating opportunities for international markets and exports. Potential benefits include better goods and services, improved productivity, domestic technology capability, skilled employment and new industrial opportunities.</w:t>
      </w:r>
    </w:p>
    <w:p>
      <w:pPr>
        <w:pStyle w:val="Heading1"/>
      </w:pPr>
      <w:r>
        <w:t>7. Nation-Building Growth Cycle</w:t>
      </w:r>
    </w:p>
    <w:p>
      <w:r>
        <w:t>Own IP → Domestic Capability → Products &amp; Services → Resident Value → Productivity → Revenue → Reinvestment → New Technology → Exports. This links commercial activity with capability development and can create a reinforcing relationship between technology investment, employment, productivity, domestic markets and international expansion.</w:t>
      </w:r>
    </w:p>
    <w:p>
      <w:pPr>
        <w:pStyle w:val="Heading1"/>
      </w:pPr>
      <w:r>
        <w:t>8. Investor Value Proposition</w:t>
      </w:r>
    </w:p>
    <w:p>
      <w:r>
        <w:t>For an investor, HoldCo, strategic partner or potential acquiring company, the potential value extends beyond the patent portfolio itself. It can include a proprietary IP base, multi-generation technology pipeline, internally controlled technology, R&amp;D capability, skilled workforce, reduced exposure to selected critical dependencies, domestic and international markets, and multiple commercialization pathways.</w:t>
      </w:r>
    </w:p>
    <w:p>
      <w:pPr>
        <w:pStyle w:val="Heading1"/>
      </w:pPr>
      <w:r>
        <w:t>9. Capital and Commercialization Structure</w:t>
      </w:r>
    </w:p>
    <w:p>
      <w:r>
        <w:t>The model can support a staged structure: candidate IP assessment; independent IP, technical and commercial due diligence; defined initial IP license; capital investment; product development and co-development; milestone-based rights where appropriate; revenue, royalty and/or equity economics; reinvestment; and potential strategic investment, JV or M&amp;A at a later stage.</w:t>
      </w:r>
    </w:p>
    <w:p>
      <w:pPr>
        <w:pStyle w:val="Heading1"/>
      </w:pPr>
      <w:r>
        <w:t>10. Employment and Career Development</w:t>
      </w:r>
    </w:p>
    <w:p>
      <w:r>
        <w:t>The company model can create opportunities across AI, quantum computing, software engineering, systems engineering, hardware, manufacturing, research, product development, operations, commercialization and technology management. The intended result is an ecosystem in which intellectual property creates financial assets as well as technical careers and organizational capability.</w:t>
      </w:r>
    </w:p>
    <w:p>
      <w:pPr>
        <w:pStyle w:val="Heading1"/>
      </w:pPr>
      <w:r>
        <w:t>11. Core Assessment Principle</w:t>
      </w:r>
    </w:p>
    <w:p>
      <w:r>
        <w:t>The 1,000-patent concept should not imply that every patent independently generates revenue. The portfolio is a technology reservoir from which commercially and technically promising families can be selected, protected, developed and commercialized. Assessment should prioritize patentability, differentiation, technical maturity, market need, development cost, licensing potential, strategic relevance and potential return pathways.</w:t>
      </w:r>
    </w:p>
    <w:p>
      <w:pPr>
        <w:pStyle w:val="Heading1"/>
      </w:pPr>
      <w:r>
        <w:t>12. Long-Term Vision</w:t>
      </w:r>
    </w:p>
    <w:p>
      <w:r>
        <w:t>The long-term objective is an integrated technology company in which IP ownership, R&amp;D, product development, capital, people and markets reinforce one another over multiple technology generations. The strategic vision is to build technology capability locally, create measurable value for residents and industry, recover and reinvest capital through commercialization, advance the technology base and expand successful solutions internationally.</w:t>
      </w:r>
    </w:p>
    <w:p>
      <w:pPr>
        <w:pStyle w:val="Heading1"/>
      </w:pPr>
      <w:r>
        <w:t>13. Investor Positioning</w:t>
      </w:r>
    </w:p>
    <w:p>
      <w:r>
        <w:t>This can be positioned as a potentially high-value long-term technology opportunity because it combines proprietary IP, internal technology utilization, staged commercialization, reduced critical dependency, workforce development, domestic economic value and international expansion potential. 'Golden opportunity' is best treated as the investment thesis, not a promise of guaranteed returns.</w:t>
      </w:r>
    </w:p>
    <w:p>
      <w:pPr>
        <w:pStyle w:val="Heading1"/>
      </w:pPr>
      <w:r>
        <w:t>14. Strategic Summary</w:t>
      </w:r>
    </w:p>
    <w:p>
      <w:r>
        <w:t>IP: proprietary technology foundation. Technology: classical, AI, quantum-inspired and quantum pathways across maturity stages. Business: internal IP utilization plus selective external partnerships. Resilience: reduced critical dependency. Capital: staged investment linked to development milestones. People: research, engineering, product, manufacturing and commercial careers. Domestic value: resident-focused goods, services and productivity. Growth: reinvestment into successive technology generations. Global value: international markets and exports. Exit: licensing, strategic investment, JV or M&amp;A.</w:t>
      </w:r>
    </w:p>
    <w:p>
      <w:pPr>
        <w:pStyle w:val="Heading1"/>
      </w:pPr>
      <w:r>
        <w:t>15. Important Qualification</w:t>
      </w:r>
    </w:p>
    <w:p>
      <w:r>
        <w:t>This document describes a strategic business and investment proposition. It does not guarantee investment returns, patent grants, commercial success, government support or acquisition. Actual patent, corporate, securities, tax, licensing, employment and cross-border arrangements should be reviewed by appropriately qualified professional advisers.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