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HoldCo Ecosystem Portfolio and Software-Defined Bootstrap Strategy</w:t>
      </w:r>
    </w:p>
    <w:p>
      <w:pPr>
        <w:jc w:val="center"/>
      </w:pPr>
      <w:r>
        <w:rPr>
          <w:i/>
        </w:rPr>
        <w:t>Asset-light industrialisation model for programs, projects, specialist capabilities and rapid factory/infrastructure instantiation</w:t>
      </w:r>
    </w:p>
    <w:p>
      <w:pPr>
        <w:pStyle w:val="Heading1"/>
      </w:pPr>
      <w:r>
        <w:t>1. Strategic Direction</w:t>
      </w:r>
    </w:p>
    <w:p>
      <w:r>
        <w:t>The HoldCo model is evolving from an inventor-centric structure toward an industrial ecosystem model. The immediate objective is not to acquire physical assets or establish every possible subsidiary. Instead, the HoldCo workspace should develop the organisational, intellectual, technological and program architecture needed to create specialist ecosystem capabilities progressively.</w:t>
      </w:r>
    </w:p>
    <w:p>
      <w:r>
        <w:t>The guiding principle is: Build the organisational and intellectual architecture first; acquire physical assets only when a validated business case requires them.</w:t>
      </w:r>
    </w:p>
    <w:p>
      <w:pPr>
        <w:pStyle w:val="Heading1"/>
      </w:pPr>
      <w:r>
        <w:t>2. HoldCo Governance and Operating Model</w:t>
      </w:r>
    </w:p>
    <w:p>
      <w:r>
        <w:t>The Board is primarily a set of decision makers. It determines strategic focus, portfolio priorities, investment directions and which government, client or market needs should become programs or projects.</w:t>
      </w:r>
    </w:p>
    <w:p>
      <w:r>
        <w:t>Tracks are not ordinary corporate departments. They are specialist program-level capabilities that can be retained and reused across the HoldCo ecosystem. Working Groups provide flexible specialist capacity around defined objectives.</w:t>
      </w:r>
    </w:p>
    <w:p>
      <w:pPr>
        <w:pStyle w:val="Heading1"/>
      </w:pPr>
      <w:r>
        <w:t>3. Common Program-Level Capabilities</w:t>
      </w:r>
    </w:p>
    <w:p>
      <w:r>
        <w:t>Common capabilities should be retained at HoldCo level where they can support multiple future subsidiaries, programs and projects.</w:t>
      </w:r>
    </w:p>
    <w:p>
      <w:pPr>
        <w:pStyle w:val="Heading1"/>
      </w:pPr>
      <w:r>
        <w:t>4. Specialist Functions and Future Subsidiaries</w:t>
      </w:r>
    </w:p>
    <w:p>
      <w:r>
        <w:t>Project-level specialist capabilities should not automatically become HoldCo Tracks or subsidiaries. A specialist capability can mature through repeated use and evidence before becoming an independent economic asset.</w:t>
      </w:r>
    </w:p>
    <w:p>
      <w:r>
        <w:t>Possible progression: Working Group → Specialist Capability → Repeated Project Use → Reusable IP/Methodology → External Demand → Potential Business → Specialist Subsidiary.</w:t>
      </w:r>
    </w:p>
    <w:p>
      <w:pPr>
        <w:pStyle w:val="Heading1"/>
      </w:pPr>
      <w:r>
        <w:t>5. Portfolio and Project Investment Model</w:t>
      </w:r>
    </w:p>
    <w:p>
      <w:r>
        <w:t>HoldCo can retain common programs within portfolios while projects are developed according to Board-approved focus and validated government, client or market needs.</w:t>
      </w:r>
    </w:p>
    <w:p>
      <w:r>
        <w:t>This creates two principal participation routes: a portfolio investor can invest in a portfolio rather than selecting individual technical projects; a technical client, industry participant or product owner can invest directly in a specific project, contribute requirements/data/domain expertise, and participate in product development.</w:t>
      </w:r>
    </w:p>
    <w:p>
      <w:pPr>
        <w:pStyle w:val="Heading1"/>
      </w:pPr>
      <w:r>
        <w:t>6. Software-Defined Bootstrap Capability</w:t>
      </w:r>
    </w:p>
    <w:p>
      <w:r>
        <w:t>The HoldCo ecosystem can include automated bootstrap mechanisms for rapidly instantiating logical factories, infrastructure allocations and administration using software-defined infrastructure and infrastructure-as-code techniques.</w:t>
      </w:r>
    </w:p>
    <w:p>
      <w:r>
        <w:t>This capability is distinct from SaaS, PaaS and IaaS. Those describe service-delivery models, whereas software-defined bootstrap describes how an ecosystem capability, factory environment or project execution environment is instantiated and prepared.</w:t>
      </w:r>
    </w:p>
    <w:p>
      <w:r>
        <w:t>The logical layer can therefore be prepared quickly before all physical resources are available.</w:t>
      </w:r>
    </w:p>
    <w:p>
      <w:pPr>
        <w:pStyle w:val="Heading1"/>
      </w:pPr>
      <w:r>
        <w:t>7. Logical-First, Physical-When-Needed Principle</w:t>
      </w:r>
    </w:p>
    <w:p>
      <w:r>
        <w:t>Instantiate the logical ecosystem first; allocate or acquire physical resources according to validated project requirements and time-bound delivery needs.</w:t>
      </w:r>
    </w:p>
    <w:p>
      <w:pPr>
        <w:pStyle w:val="Heading1"/>
      </w:pPr>
      <w:r>
        <w:t>8. Bootstrap and Agile/SAFe Execution</w:t>
      </w:r>
    </w:p>
    <w:p>
      <w:r>
        <w:t>The bootstrap capability does not replace Agile or SAFe. Bootstrap prepares the logical execution environment, while Sprint and SAFe management provide the time-bound delivery mechanism.</w:t>
      </w:r>
    </w:p>
    <w:p>
      <w:r>
        <w:t>Representative sequence: Board Focus → Program Selection → Project Charter → Logical Factory Bootstrap → Sprint / PI Execution → Physical Integration → Integrated Demonstration → Validation → Production / Scale.</w:t>
      </w:r>
    </w:p>
    <w:p>
      <w:pPr>
        <w:pStyle w:val="Heading1"/>
      </w:pPr>
      <w:r>
        <w:t>9. QAI/FAEP Relationship</w:t>
      </w:r>
    </w:p>
    <w:p>
      <w:r>
        <w:t>The software-defined bootstrap capability can unify several existing QAI concepts, including QAI Hub, virtual assets, ProductDev and ProductDeploy toolkits, BareMetal provisioning, QAI runtime capabilities and FAEP ecosystem orchestration.</w:t>
      </w:r>
    </w:p>
    <w:p>
      <w:r>
        <w:t>Together, these can be treated as a reusable ecosystem/factory instantiation capability rather than isolated technical products.</w:t>
      </w:r>
    </w:p>
    <w:p>
      <w:pPr>
        <w:pStyle w:val="Heading1"/>
      </w:pPr>
      <w:r>
        <w:t>10. Industrialisation Progression</w:t>
      </w:r>
    </w:p>
    <w:p>
      <w:r>
        <w:t>Idea → Portfolio → Program → Logical Factory → Project → Physical Integration → Product → Operating Factory → Commercial Scale.</w:t>
      </w:r>
    </w:p>
    <w:p>
      <w:pPr>
        <w:pStyle w:val="Heading1"/>
      </w:pPr>
      <w:r>
        <w:t>11. Asset-Light Strategy</w:t>
      </w:r>
    </w:p>
    <w:p>
      <w:r>
        <w:t>The current HoldCo strategy should remain asset-light. Valuable assets can initially include IP, architectures, software, frameworks, data models, reference implementations, methodologies, domain knowledge, partner networks, evidence, working groups and ecosystem relationships.</w:t>
      </w:r>
    </w:p>
    <w:p>
      <w:r>
        <w:t>Physical assets should be introduced when validated demand, project requirements, economics and time-bound delivery justify their acquisition or use.</w:t>
      </w:r>
    </w:p>
    <w:p>
      <w:pPr>
        <w:pStyle w:val="Heading1"/>
      </w:pPr>
      <w:r>
        <w:t>12. Emerging HoldCo Proposition</w:t>
      </w:r>
    </w:p>
    <w:p>
      <w:r>
        <w:t>HoldCo provides common specialist program capabilities and portfolio governance, while projects are formed around validated government, industry and client needs. Investors can participate at the portfolio level, while strategic technical partners can participate directly in projects and product development.</w:t>
      </w:r>
    </w:p>
    <w:p>
      <w:r>
        <w:t>This creates a flexible pathway from ideas and master sketches to an industrial ecosystem without prematurely creating companies or acquiring physical assets.</w:t>
      </w:r>
    </w:p>
    <w:p>
      <w:pPr>
        <w:pStyle w:val="Heading1"/>
      </w:pPr>
      <w:r>
        <w:t>13. Working Principle</w:t>
      </w:r>
    </w:p>
    <w:p>
      <w:r>
        <w:t>Board decides focus → portfolios organise programs → specialist Tracks provide reusable capabilities → Working Groups assemble expertise → projects address validated needs → software-defined bootstrap prepares the logical environment → physical assets complete time-bound execution → validated products and factories scale commercially.</w:t>
      </w:r>
    </w:p>
    <w:p>
      <w:pPr>
        <w:pStyle w:val="Heading1"/>
      </w:pPr>
      <w:r>
        <w:t>14. Next Development Activity</w:t>
      </w:r>
    </w:p>
    <w:p>
      <w:r>
        <w:t>The next useful HoldCo workspace activity is to identify the specialist program-level Tracks that should be common across the ecosystem, separately catalogue project-level specialist functions, and map those functions to candidate future subsidiaries. Each candidate should be evaluated before any legal or capital commitment.</w:t>
      </w:r>
    </w:p>
    <w:p>
      <w:pPr>
        <w:pStyle w:val="Heading1"/>
      </w:pPr>
      <w:r>
        <w:t>Operating Structure</w:t>
      </w:r>
    </w:p>
    <w:tbl>
      <w:tblPr>
        <w:tblStyle w:val="TableGrid"/>
        <w:tblW w:type="auto" w:w="0"/>
        <w:jc w:val="center"/>
        <w:tblLook w:firstColumn="1" w:firstRow="1" w:lastColumn="0" w:lastRow="0" w:noHBand="0" w:noVBand="1" w:val="04A0"/>
      </w:tblPr>
      <w:tblGrid>
        <w:gridCol w:w="4320"/>
        <w:gridCol w:w="4320"/>
      </w:tblGrid>
      <w:tr>
        <w:tc>
          <w:tcPr>
            <w:tcW w:type="dxa" w:w="4320"/>
          </w:tcPr>
          <w:p>
            <w:r>
              <w:t>Level</w:t>
            </w:r>
          </w:p>
        </w:tc>
        <w:tc>
          <w:tcPr>
            <w:tcW w:type="dxa" w:w="4320"/>
          </w:tcPr>
          <w:p>
            <w:r>
              <w:t>Purpose</w:t>
            </w:r>
          </w:p>
        </w:tc>
      </w:tr>
      <w:tr>
        <w:tc>
          <w:tcPr>
            <w:tcW w:type="dxa" w:w="4320"/>
          </w:tcPr>
          <w:p>
            <w:r>
              <w:t>Board</w:t>
            </w:r>
          </w:p>
        </w:tc>
        <w:tc>
          <w:tcPr>
            <w:tcW w:type="dxa" w:w="4320"/>
          </w:tcPr>
          <w:p>
            <w:r>
              <w:t>Strategic focus, decisions, portfolio direction, investment and major go/no-go decisions.</w:t>
            </w:r>
          </w:p>
        </w:tc>
      </w:tr>
      <w:tr>
        <w:tc>
          <w:tcPr>
            <w:tcW w:type="dxa" w:w="4320"/>
          </w:tcPr>
          <w:p>
            <w:r>
              <w:t>Portfolio</w:t>
            </w:r>
          </w:p>
        </w:tc>
        <w:tc>
          <w:tcPr>
            <w:tcW w:type="dxa" w:w="4320"/>
          </w:tcPr>
          <w:p>
            <w:r>
              <w:t>Groups related programs and provides strategic and investment context.</w:t>
            </w:r>
          </w:p>
        </w:tc>
      </w:tr>
      <w:tr>
        <w:tc>
          <w:tcPr>
            <w:tcW w:type="dxa" w:w="4320"/>
          </w:tcPr>
          <w:p>
            <w:r>
              <w:t>Track</w:t>
            </w:r>
          </w:p>
        </w:tc>
        <w:tc>
          <w:tcPr>
            <w:tcW w:type="dxa" w:w="4320"/>
          </w:tcPr>
          <w:p>
            <w:r>
              <w:t>Reusable specialist capability at program level.</w:t>
            </w:r>
          </w:p>
        </w:tc>
      </w:tr>
      <w:tr>
        <w:tc>
          <w:tcPr>
            <w:tcW w:type="dxa" w:w="4320"/>
          </w:tcPr>
          <w:p>
            <w:r>
              <w:t>Working Group</w:t>
            </w:r>
          </w:p>
        </w:tc>
        <w:tc>
          <w:tcPr>
            <w:tcW w:type="dxa" w:w="4320"/>
          </w:tcPr>
          <w:p>
            <w:r>
              <w:t>Flexible specialist team formed around a defined objective.</w:t>
            </w:r>
          </w:p>
        </w:tc>
      </w:tr>
      <w:tr>
        <w:tc>
          <w:tcPr>
            <w:tcW w:type="dxa" w:w="4320"/>
          </w:tcPr>
          <w:p>
            <w:r>
              <w:t>Program</w:t>
            </w:r>
          </w:p>
        </w:tc>
        <w:tc>
          <w:tcPr>
            <w:tcW w:type="dxa" w:w="4320"/>
          </w:tcPr>
          <w:p>
            <w:r>
              <w:t>Coordinates related projects toward a strategic outcome.</w:t>
            </w:r>
          </w:p>
        </w:tc>
      </w:tr>
      <w:tr>
        <w:tc>
          <w:tcPr>
            <w:tcW w:type="dxa" w:w="4320"/>
          </w:tcPr>
          <w:p>
            <w:r>
              <w:t>Project</w:t>
            </w:r>
          </w:p>
        </w:tc>
        <w:tc>
          <w:tcPr>
            <w:tcW w:type="dxa" w:w="4320"/>
          </w:tcPr>
          <w:p>
            <w:r>
              <w:t>Delivers a specific government, client, product, pilot or market outcome.</w:t>
            </w:r>
          </w:p>
        </w:tc>
      </w:tr>
      <w:tr>
        <w:tc>
          <w:tcPr>
            <w:tcW w:type="dxa" w:w="4320"/>
          </w:tcPr>
          <w:p>
            <w:r>
              <w:t>Project-level specialist function</w:t>
            </w:r>
          </w:p>
        </w:tc>
        <w:tc>
          <w:tcPr>
            <w:tcW w:type="dxa" w:w="4320"/>
          </w:tcPr>
          <w:p>
            <w:r>
              <w:t>Specialist capability assembled according to individual project needs.</w:t>
            </w:r>
          </w:p>
        </w:tc>
      </w:tr>
    </w:tbl>
    <w:p>
      <w:pPr>
        <w:pStyle w:val="Heading1"/>
      </w:pPr>
      <w:r>
        <w:t>Examples of Common Program-Level Tracks</w:t>
      </w:r>
    </w:p>
    <w:p>
      <w:pPr>
        <w:pStyle w:val="ListBullet"/>
      </w:pPr>
      <w:r>
        <w:t>Ecosystem architecture and development</w:t>
      </w:r>
    </w:p>
    <w:p>
      <w:pPr>
        <w:pStyle w:val="ListBullet"/>
      </w:pPr>
      <w:r>
        <w:t>Technology and QAI/FAEP architecture</w:t>
      </w:r>
    </w:p>
    <w:p>
      <w:pPr>
        <w:pStyle w:val="ListBullet"/>
      </w:pPr>
      <w:r>
        <w:t>Research coordination</w:t>
      </w:r>
    </w:p>
    <w:p>
      <w:pPr>
        <w:pStyle w:val="ListBullet"/>
      </w:pPr>
      <w:r>
        <w:t>IP strategy and knowledge management</w:t>
      </w:r>
    </w:p>
    <w:p>
      <w:pPr>
        <w:pStyle w:val="ListBullet"/>
      </w:pPr>
      <w:r>
        <w:t>Standards, assurance and evidence management</w:t>
      </w:r>
    </w:p>
    <w:p>
      <w:pPr>
        <w:pStyle w:val="ListBullet"/>
      </w:pPr>
      <w:r>
        <w:t>Data and interoperability architecture</w:t>
      </w:r>
    </w:p>
    <w:p>
      <w:pPr>
        <w:pStyle w:val="ListBullet"/>
      </w:pPr>
      <w:r>
        <w:t>Commercialisation methodology</w:t>
      </w:r>
    </w:p>
    <w:p>
      <w:pPr>
        <w:pStyle w:val="ListBullet"/>
      </w:pPr>
      <w:r>
        <w:t>Investment and program design</w:t>
      </w:r>
    </w:p>
    <w:p>
      <w:pPr>
        <w:pStyle w:val="ListBullet"/>
      </w:pPr>
      <w:r>
        <w:t>Country and market intelligence</w:t>
      </w:r>
    </w:p>
    <w:p>
      <w:pPr>
        <w:pStyle w:val="ListBullet"/>
      </w:pPr>
      <w:r>
        <w:t>Industry ecosystem analysis</w:t>
      </w:r>
    </w:p>
    <w:p>
      <w:pPr>
        <w:pStyle w:val="ListBullet"/>
      </w:pPr>
      <w:r>
        <w:t>Capability and maturity assessment</w:t>
      </w:r>
    </w:p>
    <w:p>
      <w:pPr>
        <w:pStyle w:val="ListBullet"/>
      </w:pPr>
      <w:r>
        <w:t>Procurement and opportunity intelligence</w:t>
      </w:r>
    </w:p>
    <w:p>
      <w:pPr>
        <w:pStyle w:val="Heading1"/>
      </w:pPr>
      <w:r>
        <w:t>Two Participation Routes</w:t>
      </w:r>
    </w:p>
    <w:tbl>
      <w:tblPr>
        <w:tblStyle w:val="TableGrid"/>
        <w:tblW w:type="auto" w:w="0"/>
        <w:tblLook w:firstColumn="1" w:firstRow="1" w:lastColumn="0" w:lastRow="0" w:noHBand="0" w:noVBand="1" w:val="04A0"/>
      </w:tblPr>
      <w:tblGrid>
        <w:gridCol w:w="2880"/>
        <w:gridCol w:w="2880"/>
        <w:gridCol w:w="2880"/>
      </w:tblGrid>
      <w:tr>
        <w:tc>
          <w:tcPr>
            <w:tcW w:type="dxa" w:w="2880"/>
          </w:tcPr>
          <w:p>
            <w:r>
              <w:t>Participant</w:t>
            </w:r>
          </w:p>
        </w:tc>
        <w:tc>
          <w:tcPr>
            <w:tcW w:type="dxa" w:w="2880"/>
          </w:tcPr>
          <w:p>
            <w:r>
              <w:t>Investment level</w:t>
            </w:r>
          </w:p>
        </w:tc>
        <w:tc>
          <w:tcPr>
            <w:tcW w:type="dxa" w:w="2880"/>
          </w:tcPr>
          <w:p>
            <w:r>
              <w:t>Primary interest</w:t>
            </w:r>
          </w:p>
        </w:tc>
      </w:tr>
      <w:tr>
        <w:tc>
          <w:tcPr>
            <w:tcW w:type="dxa" w:w="2880"/>
          </w:tcPr>
          <w:p>
            <w:r>
              <w:t>Portfolio investor</w:t>
            </w:r>
          </w:p>
        </w:tc>
        <w:tc>
          <w:tcPr>
            <w:tcW w:type="dxa" w:w="2880"/>
          </w:tcPr>
          <w:p>
            <w:r>
              <w:t>Portfolio</w:t>
            </w:r>
          </w:p>
        </w:tc>
        <w:tc>
          <w:tcPr>
            <w:tcW w:type="dxa" w:w="2880"/>
          </w:tcPr>
          <w:p>
            <w:r>
              <w:t>Diversified strategic exposure</w:t>
            </w:r>
          </w:p>
        </w:tc>
      </w:tr>
      <w:tr>
        <w:tc>
          <w:tcPr>
            <w:tcW w:type="dxa" w:w="2880"/>
          </w:tcPr>
          <w:p>
            <w:r>
              <w:t>Strategic investor</w:t>
            </w:r>
          </w:p>
        </w:tc>
        <w:tc>
          <w:tcPr>
            <w:tcW w:type="dxa" w:w="2880"/>
          </w:tcPr>
          <w:p>
            <w:r>
              <w:t>Program</w:t>
            </w:r>
          </w:p>
        </w:tc>
        <w:tc>
          <w:tcPr>
            <w:tcW w:type="dxa" w:w="2880"/>
          </w:tcPr>
          <w:p>
            <w:r>
              <w:t>Specific technology or domain</w:t>
            </w:r>
          </w:p>
        </w:tc>
      </w:tr>
      <w:tr>
        <w:tc>
          <w:tcPr>
            <w:tcW w:type="dxa" w:w="2880"/>
          </w:tcPr>
          <w:p>
            <w:r>
              <w:t>Government</w:t>
            </w:r>
          </w:p>
        </w:tc>
        <w:tc>
          <w:tcPr>
            <w:tcW w:type="dxa" w:w="2880"/>
          </w:tcPr>
          <w:p>
            <w:r>
              <w:t>Program / Project</w:t>
            </w:r>
          </w:p>
        </w:tc>
        <w:tc>
          <w:tcPr>
            <w:tcW w:type="dxa" w:w="2880"/>
          </w:tcPr>
          <w:p>
            <w:r>
              <w:t>Public outcome</w:t>
            </w:r>
          </w:p>
        </w:tc>
      </w:tr>
      <w:tr>
        <w:tc>
          <w:tcPr>
            <w:tcW w:type="dxa" w:w="2880"/>
          </w:tcPr>
          <w:p>
            <w:r>
              <w:t>Industry partner</w:t>
            </w:r>
          </w:p>
        </w:tc>
        <w:tc>
          <w:tcPr>
            <w:tcW w:type="dxa" w:w="2880"/>
          </w:tcPr>
          <w:p>
            <w:r>
              <w:t>Project</w:t>
            </w:r>
          </w:p>
        </w:tc>
        <w:tc>
          <w:tcPr>
            <w:tcW w:type="dxa" w:w="2880"/>
          </w:tcPr>
          <w:p>
            <w:r>
              <w:t>Business problem</w:t>
            </w:r>
          </w:p>
        </w:tc>
      </w:tr>
      <w:tr>
        <w:tc>
          <w:tcPr>
            <w:tcW w:type="dxa" w:w="2880"/>
          </w:tcPr>
          <w:p>
            <w:r>
              <w:t>Product owner</w:t>
            </w:r>
          </w:p>
        </w:tc>
        <w:tc>
          <w:tcPr>
            <w:tcW w:type="dxa" w:w="2880"/>
          </w:tcPr>
          <w:p>
            <w:r>
              <w:t>Project / Product</w:t>
            </w:r>
          </w:p>
        </w:tc>
        <w:tc>
          <w:tcPr>
            <w:tcW w:type="dxa" w:w="2880"/>
          </w:tcPr>
          <w:p>
            <w:r>
              <w:t>Product outcome and control</w:t>
            </w:r>
          </w:p>
        </w:tc>
      </w:tr>
      <w:tr>
        <w:tc>
          <w:tcPr>
            <w:tcW w:type="dxa" w:w="2880"/>
          </w:tcPr>
          <w:p>
            <w:r>
              <w:t>Research partner</w:t>
            </w:r>
          </w:p>
        </w:tc>
        <w:tc>
          <w:tcPr>
            <w:tcW w:type="dxa" w:w="2880"/>
          </w:tcPr>
          <w:p>
            <w:r>
              <w:t>Program / Project</w:t>
            </w:r>
          </w:p>
        </w:tc>
        <w:tc>
          <w:tcPr>
            <w:tcW w:type="dxa" w:w="2880"/>
          </w:tcPr>
          <w:p>
            <w:r>
              <w:t>Research and technology advancement</w:t>
            </w:r>
          </w:p>
        </w:tc>
      </w:tr>
      <w:tr>
        <w:tc>
          <w:tcPr>
            <w:tcW w:type="dxa" w:w="2880"/>
          </w:tcPr>
          <w:p>
            <w:r>
              <w:t>Customer</w:t>
            </w:r>
          </w:p>
        </w:tc>
        <w:tc>
          <w:tcPr>
            <w:tcW w:type="dxa" w:w="2880"/>
          </w:tcPr>
          <w:p>
            <w:r>
              <w:t>Project / Product</w:t>
            </w:r>
          </w:p>
        </w:tc>
        <w:tc>
          <w:tcPr>
            <w:tcW w:type="dxa" w:w="2880"/>
          </w:tcPr>
          <w:p>
            <w:r>
              <w:t>Operational value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