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Addendum: HoldCo Economic Engine — Shared Asset Pool, Dynamic Allocation and Utilisation Economics</w:t>
      </w:r>
    </w:p>
    <w:p>
      <w:pPr>
        <w:jc w:val="center"/>
      </w:pPr>
      <w:r>
        <w:rPr>
          <w:i/>
          <w:sz w:val="20"/>
        </w:rPr>
        <w:t>Addition to the HoldCo Ecosystem Portfolio and Software-Defined Bootstrap Strategy</w:t>
      </w:r>
    </w:p>
    <w:p>
      <w:pPr>
        <w:pStyle w:val="Heading1"/>
      </w:pPr>
      <w:r>
        <w:t>1. Purpose of this Addendum</w:t>
      </w:r>
    </w:p>
    <w:p>
      <w:r>
        <w:t>This addendum extends the earlier HoldCo ecosystem strategy by defining the economic role of shared HoldCo-owned assets, virtualised capabilities, software-defined infrastructure, partner infrastructure pools and dynamic project-level allocation.</w:t>
      </w:r>
    </w:p>
    <w:p>
      <w:r>
        <w:t>The objective is to improve asset utilisation, reduce idle-capacity costs, reduce duplicated infrastructure across subsidiaries, accelerate project setup and create more transparent project economics.</w:t>
      </w:r>
    </w:p>
    <w:p>
      <w:pPr>
        <w:pStyle w:val="Heading1"/>
      </w:pPr>
      <w:r>
        <w:t>2. HoldCo Ownership and Shared Asset Principle</w:t>
      </w:r>
    </w:p>
    <w:p>
      <w:r>
        <w:t>HoldCo retains ownership or strategic control of common intellectual property, virtualised assets, ERP subscriptions, software-defined infrastructure capabilities, cloud models and other reusable ecosystem resources.</w:t>
      </w:r>
    </w:p>
    <w:p>
      <w:r>
        <w:t>A defined set of these capabilities can be made available to subsidiaries on a project-need basis. Subsidiaries therefore do not need to independently acquire or permanently maintain every capability required for occasional projects.</w:t>
      </w:r>
    </w:p>
    <w:p>
      <w:pPr>
        <w:pStyle w:val="Heading1"/>
      </w:pPr>
      <w:r>
        <w:t>3. Three Resource Classes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Resource class</w:t>
            </w:r>
          </w:p>
        </w:tc>
        <w:tc>
          <w:tcPr>
            <w:tcW w:type="dxa" w:w="2880"/>
          </w:tcPr>
          <w:p>
            <w:r>
              <w:t>Operating model</w:t>
            </w:r>
          </w:p>
        </w:tc>
        <w:tc>
          <w:tcPr>
            <w:tcW w:type="dxa" w:w="2880"/>
          </w:tcPr>
          <w:p>
            <w:r>
              <w:t>Purpose</w:t>
            </w:r>
          </w:p>
        </w:tc>
      </w:tr>
      <w:tr>
        <w:tc>
          <w:tcPr>
            <w:tcW w:type="dxa" w:w="2880"/>
          </w:tcPr>
          <w:p>
            <w:r>
              <w:t>Common project tools</w:t>
            </w:r>
          </w:p>
        </w:tc>
        <w:tc>
          <w:tcPr>
            <w:tcW w:type="dxa" w:w="2880"/>
          </w:tcPr>
          <w:p>
            <w:r>
              <w:t>Continuously available shared capability</w:t>
            </w:r>
          </w:p>
        </w:tc>
        <w:tc>
          <w:tcPr>
            <w:tcW w:type="dxa" w:w="2880"/>
          </w:tcPr>
          <w:p>
            <w:r>
              <w:t>Provide the baseline tools required by projects and working groups.</w:t>
            </w:r>
          </w:p>
        </w:tc>
      </w:tr>
      <w:tr>
        <w:tc>
          <w:tcPr>
            <w:tcW w:type="dxa" w:w="2880"/>
          </w:tcPr>
          <w:p>
            <w:r>
              <w:t>HoldCo-owned virtualised assets</w:t>
            </w:r>
          </w:p>
        </w:tc>
        <w:tc>
          <w:tcPr>
            <w:tcW w:type="dxa" w:w="2880"/>
          </w:tcPr>
          <w:p>
            <w:r>
              <w:t>Allocated or loaned to subsidiaries when required</w:t>
            </w:r>
          </w:p>
        </w:tc>
        <w:tc>
          <w:tcPr>
            <w:tcW w:type="dxa" w:w="2880"/>
          </w:tcPr>
          <w:p>
            <w:r>
              <w:t>Reuse common IP, software, cloud models, ERP capabilities and virtual infrastructure.</w:t>
            </w:r>
          </w:p>
        </w:tc>
      </w:tr>
      <w:tr>
        <w:tc>
          <w:tcPr>
            <w:tcW w:type="dxa" w:w="2880"/>
          </w:tcPr>
          <w:p>
            <w:r>
              <w:t>High-cost partner resources</w:t>
            </w:r>
          </w:p>
        </w:tc>
        <w:tc>
          <w:tcPr>
            <w:tcW w:type="dxa" w:w="2880"/>
          </w:tcPr>
          <w:p>
            <w:r>
              <w:t>Dynamically provisioned/reserved from a partner pool</w:t>
            </w:r>
          </w:p>
        </w:tc>
        <w:tc>
          <w:tcPr>
            <w:tcW w:type="dxa" w:w="2880"/>
          </w:tcPr>
          <w:p>
            <w:r>
              <w:t>Access expensive resources such as HPC, GPU, QPU or specialised infrastructure without maintaining idle dedicated capacity.</w:t>
            </w:r>
          </w:p>
        </w:tc>
      </w:tr>
    </w:tbl>
    <w:p>
      <w:pPr>
        <w:pStyle w:val="Heading1"/>
      </w:pPr>
      <w:r>
        <w:t>4. Dynamic Resource Allocation Lifecycle</w:t>
      </w:r>
    </w:p>
    <w:p>
      <w:r>
        <w:t>The intended lifecycle is:</w:t>
      </w:r>
    </w:p>
    <w:p>
      <w:r>
        <w:t>Project requirement → resource request → capability matching → partner/HoldCo resource allocation → software-defined provisioning → project execution → usage measurement → billing/cost allocation → release → reuse.</w:t>
      </w:r>
    </w:p>
    <w:p>
      <w:pPr>
        <w:pStyle w:val="Heading1"/>
      </w:pPr>
      <w:r>
        <w:t>5. Logical-First and Physical-When-Needed Economics</w:t>
      </w:r>
    </w:p>
    <w:p>
      <w:r>
        <w:t>Software-defined infrastructure allows the logical project environment to be prepared before all physical resources are assembled. Physical infrastructure can then be introduced or allocated only when required by the validated project workload.</w:t>
      </w:r>
    </w:p>
    <w:p>
      <w:r>
        <w:t>This is particularly useful for expensive infrastructure such as HPC clusters, GPUs, QPUs and specialised equipment. The economic objective is not to maximise the quantity of infrastructure owned, but to maximise the utilisation and value generated by infrastructure that HoldCo can access.</w:t>
      </w:r>
    </w:p>
    <w:p>
      <w:pPr>
        <w:pStyle w:val="Heading1"/>
      </w:pPr>
      <w:r>
        <w:t>6. Project-Level Usage and Client Economics</w:t>
      </w:r>
    </w:p>
    <w:p>
      <w:r>
        <w:t>Where commercially and contractually appropriate, project charging can be based on allocated or consumed resources rather than embedding the cost of permanently dedicated infrastructure in every project.</w:t>
      </w:r>
    </w:p>
    <w:p>
      <w:r>
        <w:t>Examples of measurable project resources include compute hours, GPU/QPU usage, storage, specialised infrastructure capacity, software/runtime consumption and specialist engineering effort.</w:t>
      </w:r>
    </w:p>
    <w:p>
      <w:r>
        <w:t>The intended commercial principle is transparent usage-based or project-based charging with clearly allocated resource costs. This should not be interpreted as a guarantee that every project will have no other charges; contracts may separately include engineering, support, licensing, connectivity, management or minimum-commitment costs.</w:t>
      </w:r>
    </w:p>
    <w:p>
      <w:pPr>
        <w:pStyle w:val="Heading1"/>
      </w:pPr>
      <w:r>
        <w:t>7. Portfolio Economics</w:t>
      </w:r>
    </w:p>
    <w:p>
      <w:r>
        <w:t>Shared resources allow the same underlying capability to support multiple projects during its useful life. This can reduce duplicated capital requirements and improve utilisation across the portfolio.</w:t>
      </w:r>
    </w:p>
    <w:p>
      <w:r>
        <w:t>Potential economic benefits include:</w:t>
      </w:r>
    </w:p>
    <w:p>
      <w:pPr>
        <w:pStyle w:val="ListBullet"/>
      </w:pPr>
      <w:r>
        <w:t>Higher utilisation of expensive assets.</w:t>
      </w:r>
    </w:p>
    <w:p>
      <w:pPr>
        <w:pStyle w:val="ListBullet"/>
      </w:pPr>
      <w:r>
        <w:t>Lower capital requirements for individual subsidiaries.</w:t>
      </w:r>
    </w:p>
    <w:p>
      <w:pPr>
        <w:pStyle w:val="ListBullet"/>
      </w:pPr>
      <w:r>
        <w:t>Reduced idle-capacity costs.</w:t>
      </w:r>
    </w:p>
    <w:p>
      <w:pPr>
        <w:pStyle w:val="ListBullet"/>
      </w:pPr>
      <w:r>
        <w:t>Faster project provisioning and reduced setup effort.</w:t>
      </w:r>
    </w:p>
    <w:p>
      <w:pPr>
        <w:pStyle w:val="ListBullet"/>
      </w:pPr>
      <w:r>
        <w:t>Reuse of HoldCo IP, subscriptions, software and virtual infrastructure.</w:t>
      </w:r>
    </w:p>
    <w:p>
      <w:pPr>
        <w:pStyle w:val="ListBullet"/>
      </w:pPr>
      <w:r>
        <w:t>More transparent allocation of project resource costs.</w:t>
      </w:r>
    </w:p>
    <w:p>
      <w:pPr>
        <w:pStyle w:val="ListBullet"/>
      </w:pPr>
      <w:r>
        <w:t>Ability to leverage partner infrastructure without owning all of it.</w:t>
      </w:r>
    </w:p>
    <w:p>
      <w:pPr>
        <w:pStyle w:val="ListBullet"/>
      </w:pPr>
      <w:r>
        <w:t>Potentially stronger project margins and portfolio economics when utilisation and pricing support them.</w:t>
      </w:r>
    </w:p>
    <w:p>
      <w:pPr>
        <w:pStyle w:val="ListBullet"/>
      </w:pPr>
      <w:r>
        <w:t>Greater capacity for reinvestment and, where financially appropriate, shareholder distributions.</w:t>
      </w:r>
    </w:p>
    <w:p>
      <w:pPr>
        <w:pStyle w:val="Heading1"/>
      </w:pPr>
      <w:r>
        <w:t>8. HoldCo Economic Engine</w:t>
      </w:r>
    </w:p>
    <w:p>
      <w:r>
        <w:t>The shared asset model turns HoldCo from a passive asset holder into a capital-utilisation and capability-reuse system.</w:t>
      </w:r>
    </w:p>
    <w:p>
      <w:r>
        <w:rPr>
          <w:b/>
        </w:rPr>
        <w:t>Own strategically → virtualise → pool → dynamically allocate → automate → use → measure → release → reuse.</w:t>
      </w:r>
    </w:p>
    <w:p>
      <w:pPr>
        <w:pStyle w:val="Heading1"/>
      </w:pPr>
      <w:r>
        <w:t>9. Shared Asset Utilisation Loop</w:t>
      </w:r>
    </w:p>
    <w:p>
      <w:r>
        <w:t>A representative operating loop is:</w:t>
      </w:r>
    </w:p>
    <w:p>
      <w:r>
        <w:t>HoldCo capital → shared asset pool → virtualisation → software bootstrap → project allocation → actual resource consumption → measurement → billing/ROI assessment → asset release → reuse/reallocation → portfolio value.</w:t>
      </w:r>
    </w:p>
    <w:p>
      <w:pPr>
        <w:pStyle w:val="Heading1"/>
      </w:pPr>
      <w:r>
        <w:t>10. Investor Value Proposition</w:t>
      </w:r>
    </w:p>
    <w:p>
      <w:r>
        <w:t>The model is designed to allow portfolio capital to support multiple projects and programs rather than being trapped in underutilised dedicated infrastructure.</w:t>
      </w:r>
    </w:p>
    <w:p>
      <w:r>
        <w:t>Non-technical investors can participate at portfolio level, while technical clients or product owners can participate directly in projects. The shared asset pool allows both routes to leverage common HoldCo capabilities.</w:t>
      </w:r>
    </w:p>
    <w:p>
      <w:r>
        <w:t>Actual investor returns and dividends remain dependent on project performance, revenues, costs, financing, corporate structure and applicable agreements; the shared-asset model is an economic mechanism intended to improve capital efficiency rather than a guarantee of returns.</w:t>
      </w:r>
    </w:p>
    <w:p>
      <w:pPr>
        <w:pStyle w:val="Heading1"/>
      </w:pPr>
      <w:r>
        <w:t>11. Relationship to Software-Defined Bootstrap</w:t>
      </w:r>
    </w:p>
    <w:p>
      <w:r>
        <w:t>The economic model is closely coupled with the software-defined bootstrap capability described in the earlier strategy. Bootstrap prepares the logical environment; dynamic allocation supplies the required resources; project execution consumes them; and release makes them available for subsequent work.</w:t>
      </w:r>
    </w:p>
    <w:p>
      <w:r>
        <w:t>This creates a practical bridge between software-defined infrastructure and physical infrastructure without requiring every subsidiary to own a complete infrastructure stack.</w:t>
      </w:r>
    </w:p>
    <w:p>
      <w:pPr>
        <w:pStyle w:val="Heading1"/>
      </w:pPr>
      <w:r>
        <w:t>12. Strategic Principle</w:t>
      </w:r>
    </w:p>
    <w:p>
      <w:r>
        <w:rPr>
          <w:b/>
        </w:rPr>
        <w:t>Do not optimise for maximum asset ownership; optimise for maximum useful asset utilisation, transparent project economics and reusable ecosystem capability.</w:t>
      </w:r>
    </w:p>
    <w:p>
      <w:pPr>
        <w:pStyle w:val="Heading1"/>
      </w:pPr>
      <w:r>
        <w:t>13. Integration with the Earlier HoldCo Model</w:t>
      </w:r>
    </w:p>
    <w:p>
      <w:r>
        <w:t>This addendum should be read together with the earlier HoldCo model:</w:t>
      </w:r>
    </w:p>
    <w:p>
      <w:pPr>
        <w:pStyle w:val="ListBullet"/>
      </w:pPr>
      <w:r>
        <w:t>Board → Portfolio → Programs → Specialist Tracks → Working Groups → Projects</w:t>
      </w:r>
    </w:p>
    <w:p>
      <w:pPr>
        <w:pStyle w:val="ListBullet"/>
      </w:pPr>
      <w:r>
        <w:t>Logical-first → physical-when-needed execution</w:t>
      </w:r>
    </w:p>
    <w:p>
      <w:pPr>
        <w:pStyle w:val="ListBullet"/>
      </w:pPr>
      <w:r>
        <w:t>Portfolio-level investment and project/product-owner participation</w:t>
      </w:r>
    </w:p>
    <w:p>
      <w:pPr>
        <w:pStyle w:val="ListBullet"/>
      </w:pPr>
      <w:r>
        <w:t>Software-defined factory and infrastructure bootstrap</w:t>
      </w:r>
    </w:p>
    <w:p>
      <w:pPr>
        <w:pStyle w:val="ListBullet"/>
      </w:pPr>
      <w:r>
        <w:t>Dynamic allocation of HoldCo and partner resources</w:t>
      </w:r>
    </w:p>
    <w:p>
      <w:pPr>
        <w:pStyle w:val="ListBullet"/>
      </w:pPr>
      <w:r>
        <w:t>Reusable IP and ecosystem capabilities across subsidiaries</w:t>
      </w:r>
    </w:p>
    <w:p>
      <w:pPr>
        <w:pStyle w:val="Heading1"/>
      </w:pPr>
      <w:r>
        <w:t>14. Overall Operating Principle</w:t>
      </w:r>
    </w:p>
    <w:p>
      <w:r>
        <w:rPr>
          <w:b/>
        </w:rPr>
        <w:t>HoldCo owns and orchestrates reusable capabilities; subsidiaries and projects consume them when needed; high-cost resources are dynamically sourced and allocated; usage is measured; resources are released and reused; and the resulting efficiency supports stronger project and portfolio economics.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