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HoldCo VS Code Workspace — Reference Implementation Development Guide</w:t>
      </w:r>
    </w:p>
    <w:p>
      <w:pPr>
        <w:jc w:val="center"/>
      </w:pPr>
      <w:r>
        <w:rPr>
          <w:i/>
        </w:rPr>
        <w:t>Abridged reference implementations and interfaces to existing IAFE/QAI engineering repositories</w:t>
      </w:r>
    </w:p>
    <w:p>
      <w:pPr>
        <w:pStyle w:val="Heading1"/>
      </w:pPr>
      <w:r>
        <w:t>1. Purpose</w:t>
      </w:r>
    </w:p>
    <w:p>
      <w:r>
        <w:t>The HoldCo VS Code workspace should provide a concise portfolio/program/project view and technology-neutral reference implementations, while the existing large repositories remain the deeper engineering implementation assets.</w:t>
      </w:r>
    </w:p>
    <w:p>
      <w:pPr>
        <w:pStyle w:val="Heading1"/>
      </w:pPr>
      <w:r>
        <w:t>2. Core Principle</w:t>
      </w:r>
    </w:p>
    <w:p>
      <w:r>
        <w:t>Reference implementation samples should summarize capability, interfaces, workflows and usage rather than copy the full implementation. The HoldCo layer is an interface/control view; existing repositories remain the engineering implementation.</w:t>
      </w:r>
    </w:p>
    <w:p>
      <w:pPr>
        <w:pStyle w:val="Heading1"/>
      </w:pPr>
      <w:r>
        <w:t>3. Architecture Boundary</w:t>
      </w:r>
    </w:p>
    <w:p>
      <w:r>
        <w:t>HoldCo VS Code Workspace → Abridged Reference Implementation → Existing Large Repositories.</w:t>
      </w:r>
    </w:p>
    <w:p>
      <w:pPr>
        <w:pStyle w:val="Heading1"/>
      </w:pPr>
      <w:r>
        <w:t>4. Existing Repositories to Interface</w:t>
      </w:r>
    </w:p>
    <w:p>
      <w:r>
        <w:t>IAFE Repository Bootstrap → Project/repository bootstrap reference. IAFE Ecosystem → Federated ecosystem reference. QAI Product Foundry → Product/project lifecycle reference. Organization Frameworks → Organisation/program framework reference.</w:t>
      </w:r>
    </w:p>
    <w:p>
      <w:pPr>
        <w:pStyle w:val="Heading1"/>
      </w:pPr>
      <w:r>
        <w:t>5. RI-01 — Repository / Project Bootstrap</w:t>
      </w:r>
    </w:p>
    <w:p>
      <w:r>
        <w:t>Project Request → Project Definition → Template Selection → Bootstrap Generator → Project Workspace → Validation.</w:t>
      </w:r>
    </w:p>
    <w:p>
      <w:pPr>
        <w:pStyle w:val="Heading1"/>
      </w:pPr>
      <w:r>
        <w:t>6. RI-02 — Federated Ecosystem</w:t>
      </w:r>
    </w:p>
    <w:p>
      <w:r>
        <w:t>HoldCo → Portfolio → Program → Tracks → Working Groups → Projects → Federated Capabilities → Products / Services.</w:t>
      </w:r>
    </w:p>
    <w:p>
      <w:pPr>
        <w:pStyle w:val="Heading1"/>
      </w:pPr>
      <w:r>
        <w:t>7. RI-03 — Product Foundry</w:t>
      </w:r>
    </w:p>
    <w:p>
      <w:r>
        <w:t>Need → Idea → Research → Requirements → Architecture → Engineering → Verification → Product → Commercialisation.</w:t>
      </w:r>
    </w:p>
    <w:p>
      <w:pPr>
        <w:pStyle w:val="Heading1"/>
      </w:pPr>
      <w:r>
        <w:t>8. RI-04 — Organisation Framework</w:t>
      </w:r>
    </w:p>
    <w:p>
      <w:r>
        <w:t>Strategic Intent → Operating Model → Programs → Capabilities → Roles / Working Groups → Projects → Outcomes.</w:t>
      </w:r>
    </w:p>
    <w:p>
      <w:pPr>
        <w:pStyle w:val="Heading1"/>
      </w:pPr>
      <w:r>
        <w:t>9. RI-05 — Dynamic Asset Allocation</w:t>
      </w:r>
    </w:p>
    <w:p>
      <w:r>
        <w:t>Resource Pool → Catalogue → Request → Governance → Provision → Allocate → Consume → Measure → Charge → Release → Reuse.</w:t>
      </w:r>
    </w:p>
    <w:p>
      <w:pPr>
        <w:pStyle w:val="Heading1"/>
      </w:pPr>
      <w:r>
        <w:t>10. Dynamic Asset Allocation Economic Layer</w:t>
      </w:r>
    </w:p>
    <w:p>
      <w:r>
        <w:t>RI-05 connects the existing technical work to the HoldCo economic engine. Ownership, allocation and consumption should be treated as separate concepts. Capacity can be allocated instead of entire physical assets; actual usage can be measured and attributed; resources can then be released and reused.</w:t>
      </w:r>
    </w:p>
    <w:p>
      <w:pPr>
        <w:pStyle w:val="Heading1"/>
      </w:pPr>
      <w:r>
        <w:t>11. Ownership / Allocation / Consumption Example</w:t>
      </w:r>
    </w:p>
    <w:p>
      <w:r>
        <w:t>HPC Cluster → Owner: Partner → Allocated to: HoldCo → Reserved for: QAI Program → Assigned to: Digital Farm Project → Consumed by: Simulation Workload.</w:t>
      </w:r>
    </w:p>
    <w:p>
      <w:pPr>
        <w:pStyle w:val="Heading1"/>
      </w:pPr>
      <w:r>
        <w:t>12. Reference Implementation Content</w:t>
      </w:r>
    </w:p>
    <w:p>
      <w:r>
        <w:t>Each reference should contain: Purpose; capability description; inputs; outputs; workflow; reference architecture; interfaces; example/sample; relationship to HoldCo portfolio/program/project model; source engineering repository; implementation boundary; maturity/evidence status.</w:t>
      </w:r>
    </w:p>
    <w:p>
      <w:pPr>
        <w:pStyle w:val="Heading1"/>
      </w:pPr>
      <w:r>
        <w:t>13. Product and Technology Mapping — Later</w:t>
      </w:r>
    </w:p>
    <w:p>
      <w:r>
        <w:t>Do not make the reference architecture dependent on specific commercial products or cloud tools at this stage. Later map reference capabilities to QAI products/frameworks, external technologies, cloud services, partner capabilities and implementation options.</w:t>
      </w:r>
    </w:p>
    <w:p>
      <w:pPr>
        <w:pStyle w:val="Heading1"/>
      </w:pPr>
      <w:r>
        <w:t>14. Abridged vs Deep Implementation</w:t>
      </w:r>
    </w:p>
    <w:p>
      <w:r>
        <w:t>The HoldCo workspace should document capability and interface without unnecessarily exposing deep implementation details or duplicating engineering IP. Full repositories remain authoritative implementation locations. Example: RI-01 Repository Bootstrap → implemented by iafe-repository-bootstrap.</w:t>
      </w:r>
    </w:p>
    <w:p>
      <w:pPr>
        <w:pStyle w:val="Heading1"/>
      </w:pPr>
      <w:r>
        <w:t>15. HoldCo Operating Model</w:t>
      </w:r>
    </w:p>
    <w:p>
      <w:r>
        <w:t>The references support Board → Portfolios → Programs → Specialist Tracks → Working Groups → Projects → Products / Services. Software-defined bootstrap and dynamic allocation bridge strategic decisions to project execution.</w:t>
      </w:r>
    </w:p>
    <w:p>
      <w:pPr>
        <w:pStyle w:val="Heading1"/>
      </w:pPr>
      <w:r>
        <w:t>16. Development Sequence</w:t>
      </w:r>
    </w:p>
    <w:p>
      <w:r>
        <w:t>Inspect and summarise the four existing repositories; create the five reference implementation areas; create concise READMEs; extract technology-neutral workflows/interfaces; create minimal samples; link each reference to its authoritative repository; add dynamic asset allocation; map products and technologies later.</w:t>
      </w:r>
    </w:p>
    <w:p>
      <w:pPr>
        <w:pStyle w:val="Heading1"/>
      </w:pPr>
      <w:r>
        <w:t>17. Working Principle</w:t>
      </w:r>
    </w:p>
    <w:p>
      <w:r>
        <w:t>Reuse existing engineering work; abstract reusable capability; expose a concise reference interface in the HoldCo workspace; keep deep implementation in authoritative repositories; map products and technologies later.</w:t>
      </w:r>
    </w:p>
    <w:p>
      <w:pPr>
        <w:pStyle w:val="Heading1"/>
      </w:pPr>
      <w:r>
        <w:t>18. Intended Outcome</w:t>
      </w:r>
    </w:p>
    <w:p>
      <w:r>
        <w:t>The HoldCo VS Code workspace should remain small enough to manage at portfolio/program/project level while staying connected to the substantial IAFE and QAI engineering repositories. It should be an architectural and operational bridge, not another duplicate engineering monorepository.</w:t>
      </w:r>
    </w:p>
    <w:p>
      <w:pPr>
        <w:pStyle w:val="Heading1"/>
      </w:pPr>
      <w:r>
        <w:t>Suggested Reference Folder</w:t>
      </w:r>
    </w:p>
    <w:p>
      <w:r>
        <w:t>reference_implementations/</w:t>
        <w:br/>
        <w:t>├── README.md</w:t>
        <w:br/>
        <w:t>├── 01_repository_bootstrap/</w:t>
        <w:br/>
        <w:t>├── 02_federated_ecosystem/</w:t>
        <w:br/>
        <w:t>├── 03_product_foundry/</w:t>
        <w:br/>
        <w:t>├── 04_organization_framework/</w:t>
        <w:br/>
        <w:t>└── 05_dynamic_asset_allocation/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