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QAI Capital–IP–Co-Development Transaction Framework</w:t>
      </w:r>
    </w:p>
    <w:p>
      <w:pPr>
        <w:jc w:val="center"/>
      </w:pPr>
      <w:r>
        <w:rPr>
          <w:i/>
        </w:rPr>
        <w:t>Staged IP Licensing, Capital Raising, Funded Development, Performance-Based Value Sharing and Potential M&amp;A</w:t>
      </w:r>
    </w:p>
    <w:p>
      <w:pPr>
        <w:pStyle w:val="Heading1"/>
      </w:pPr>
      <w:r>
        <w:t>1. Executive Summary</w:t>
      </w:r>
    </w:p>
    <w:p>
      <w:r>
        <w:t>The central objective is not to pursue M&amp;A as the immediate transaction. The primary objective is to establish a legally supervised mechanism through which selected QAI intellectual property can support capital raising, receive fair consideration for initial licenses, and then be developed through funded research, engineering and commercialization. M&amp;A can remain a later strategic exit option for the commercialization company.</w:t>
      </w:r>
    </w:p>
    <w:p>
      <w:pPr>
        <w:pStyle w:val="Heading1"/>
      </w:pPr>
      <w:r>
        <w:t>2. Core Transaction Model</w:t>
      </w:r>
    </w:p>
    <w:p>
      <w:r>
        <w:t>The proposed model separates ownership of the underlying QAI IP from the capitalization and operation of a commercialization/development company.</w:t>
      </w:r>
    </w:p>
    <w:p>
      <w:pPr>
        <w:pStyle w:val="ListBullet"/>
      </w:pPr>
      <w:r>
        <w:t>Bhadale IT / QAI IP Owner — retains defined underlying IP boundaries and grants selected, controlled licenses.</w:t>
      </w:r>
    </w:p>
    <w:p>
      <w:pPr>
        <w:pStyle w:val="ListBullet"/>
      </w:pPr>
      <w:r>
        <w:t>Commercialization / Development Company — receives defined rights and uses investment capital to fund protection, R&amp;D, productization and commercialization.</w:t>
      </w:r>
    </w:p>
    <w:p>
      <w:pPr>
        <w:pStyle w:val="ListBullet"/>
      </w:pPr>
      <w:r>
        <w:t>Investors — provide capital to the commercialization company under negotiated investment instruments and governance.</w:t>
      </w:r>
    </w:p>
    <w:p>
      <w:pPr>
        <w:pStyle w:val="ListBullet"/>
      </w:pPr>
      <w:r>
        <w:t>QAI Lab / Founder — remains involved in technical research, product development and defined co-development activities.</w:t>
      </w:r>
    </w:p>
    <w:p>
      <w:pPr>
        <w:pStyle w:val="ListBullet"/>
      </w:pPr>
      <w:r>
        <w:t>Customers / Market — provide pilots, validation, revenue and commercial evidence.</w:t>
      </w:r>
    </w:p>
    <w:p>
      <w:pPr>
        <w:pStyle w:val="Heading1"/>
      </w:pPr>
      <w:r>
        <w:t>3. Staged IP-for-Capital and Development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Capital / Consideration</w:t>
            </w:r>
          </w:p>
        </w:tc>
        <w:tc>
          <w:tcPr>
            <w:tcW w:type="dxa" w:w="2160"/>
          </w:tcPr>
          <w:p>
            <w:r>
              <w:t>IP Position</w:t>
            </w:r>
          </w:p>
        </w:tc>
        <w:tc>
          <w:tcPr>
            <w:tcW w:type="dxa" w:w="2160"/>
          </w:tcPr>
          <w:p>
            <w:r>
              <w:t>Development</w:t>
            </w:r>
          </w:p>
        </w:tc>
      </w:tr>
      <w:tr>
        <w:tc>
          <w:tcPr>
            <w:tcW w:type="dxa" w:w="2160"/>
          </w:tcPr>
          <w:p>
            <w:r>
              <w:t>1. Assessment</w:t>
            </w:r>
          </w:p>
        </w:tc>
        <w:tc>
          <w:tcPr>
            <w:tcW w:type="dxa" w:w="2160"/>
          </w:tcPr>
          <w:p>
            <w:r>
              <w:t>Funding for technical, IP and commercial assessment</w:t>
            </w:r>
          </w:p>
        </w:tc>
        <w:tc>
          <w:tcPr>
            <w:tcW w:type="dxa" w:w="2160"/>
          </w:tcPr>
          <w:p>
            <w:r>
              <w:t>Controlled disclosure; no broad transfer</w:t>
            </w:r>
          </w:p>
        </w:tc>
        <w:tc>
          <w:tcPr>
            <w:tcW w:type="dxa" w:w="2160"/>
          </w:tcPr>
          <w:p>
            <w:r>
              <w:t>Due diligence and candidate selection</w:t>
            </w:r>
          </w:p>
        </w:tc>
      </w:tr>
      <w:tr>
        <w:tc>
          <w:tcPr>
            <w:tcW w:type="dxa" w:w="2160"/>
          </w:tcPr>
          <w:p>
            <w:r>
              <w:t>2. Initial License</w:t>
            </w:r>
          </w:p>
        </w:tc>
        <w:tc>
          <w:tcPr>
            <w:tcW w:type="dxa" w:w="2160"/>
          </w:tcPr>
          <w:p>
            <w:r>
              <w:t>Upfront license fee or agreed consideration</w:t>
            </w:r>
          </w:p>
        </w:tc>
        <w:tc>
          <w:tcPr>
            <w:tcW w:type="dxa" w:w="2160"/>
          </w:tcPr>
          <w:p>
            <w:r>
              <w:t>Defined field, territory, term and rights</w:t>
            </w:r>
          </w:p>
        </w:tc>
        <w:tc>
          <w:tcPr>
            <w:tcW w:type="dxa" w:w="2160"/>
          </w:tcPr>
          <w:p>
            <w:r>
              <w:t>Initial technical/product work</w:t>
            </w:r>
          </w:p>
        </w:tc>
      </w:tr>
      <w:tr>
        <w:tc>
          <w:tcPr>
            <w:tcW w:type="dxa" w:w="2160"/>
          </w:tcPr>
          <w:p>
            <w:r>
              <w:t>3. Investment</w:t>
            </w:r>
          </w:p>
        </w:tc>
        <w:tc>
          <w:tcPr>
            <w:tcW w:type="dxa" w:w="2160"/>
          </w:tcPr>
          <w:p>
            <w:r>
              <w:t>Equity, debt or other permitted investment</w:t>
            </w:r>
          </w:p>
        </w:tc>
        <w:tc>
          <w:tcPr>
            <w:tcW w:type="dxa" w:w="2160"/>
          </w:tcPr>
          <w:p>
            <w:r>
              <w:t>License remains contractually defined</w:t>
            </w:r>
          </w:p>
        </w:tc>
        <w:tc>
          <w:tcPr>
            <w:tcW w:type="dxa" w:w="2160"/>
          </w:tcPr>
          <w:p>
            <w:r>
              <w:t>Funded R&amp;D and product development</w:t>
            </w:r>
          </w:p>
        </w:tc>
      </w:tr>
      <w:tr>
        <w:tc>
          <w:tcPr>
            <w:tcW w:type="dxa" w:w="2160"/>
          </w:tcPr>
          <w:p>
            <w:r>
              <w:t>4. Co-Development</w:t>
            </w:r>
          </w:p>
        </w:tc>
        <w:tc>
          <w:tcPr>
            <w:tcW w:type="dxa" w:w="2160"/>
          </w:tcPr>
          <w:p>
            <w:r>
              <w:t>Milestone-based development capital</w:t>
            </w:r>
          </w:p>
        </w:tc>
        <w:tc>
          <w:tcPr>
            <w:tcW w:type="dxa" w:w="2160"/>
          </w:tcPr>
          <w:p>
            <w:r>
              <w:t>Additional rights tied to agreed outcomes</w:t>
            </w:r>
          </w:p>
        </w:tc>
        <w:tc>
          <w:tcPr>
            <w:tcW w:type="dxa" w:w="2160"/>
          </w:tcPr>
          <w:p>
            <w:r>
              <w:t>Joint R&amp;D, engineering and validation</w:t>
            </w:r>
          </w:p>
        </w:tc>
      </w:tr>
      <w:tr>
        <w:tc>
          <w:tcPr>
            <w:tcW w:type="dxa" w:w="2160"/>
          </w:tcPr>
          <w:p>
            <w:r>
              <w:t>5. Performance</w:t>
            </w:r>
          </w:p>
        </w:tc>
        <w:tc>
          <w:tcPr>
            <w:tcW w:type="dxa" w:w="2160"/>
          </w:tcPr>
          <w:p>
            <w:r>
              <w:t>Royalties, milestones, revenue share and/or equity economics</w:t>
            </w:r>
          </w:p>
        </w:tc>
        <w:tc>
          <w:tcPr>
            <w:tcW w:type="dxa" w:w="2160"/>
          </w:tcPr>
          <w:p>
            <w:r>
              <w:t>Rights continue or expand according to contract</w:t>
            </w:r>
          </w:p>
        </w:tc>
        <w:tc>
          <w:tcPr>
            <w:tcW w:type="dxa" w:w="2160"/>
          </w:tcPr>
          <w:p>
            <w:r>
              <w:t>Production and commercialization</w:t>
            </w:r>
          </w:p>
        </w:tc>
      </w:tr>
      <w:tr>
        <w:tc>
          <w:tcPr>
            <w:tcW w:type="dxa" w:w="2160"/>
          </w:tcPr>
          <w:p>
            <w:r>
              <w:t>6. Strategic Transaction</w:t>
            </w:r>
          </w:p>
        </w:tc>
        <w:tc>
          <w:tcPr>
            <w:tcW w:type="dxa" w:w="2160"/>
          </w:tcPr>
          <w:p>
            <w:r>
              <w:t>Acquisition, JV, strategic investment or further licensing</w:t>
            </w:r>
          </w:p>
        </w:tc>
        <w:tc>
          <w:tcPr>
            <w:tcW w:type="dxa" w:w="2160"/>
          </w:tcPr>
          <w:p>
            <w:r>
              <w:t>Treatment governed by existing agreements</w:t>
            </w:r>
          </w:p>
        </w:tc>
        <w:tc>
          <w:tcPr>
            <w:tcW w:type="dxa" w:w="2160"/>
          </w:tcPr>
          <w:p>
            <w:r>
              <w:t>Potential exit or scale-up</w:t>
            </w:r>
          </w:p>
        </w:tc>
      </w:tr>
    </w:tbl>
    <w:p>
      <w:pPr>
        <w:pStyle w:val="Heading1"/>
      </w:pPr>
      <w:r>
        <w:t>4. Legal and Financial Supervision</w:t>
      </w:r>
    </w:p>
    <w:p>
      <w:r>
        <w:t>The transaction should create an auditable chain linking money, rights, development obligations, milestones and outcomes:</w:t>
      </w:r>
    </w:p>
    <w:p>
      <w:pPr>
        <w:pStyle w:val="ListNumber"/>
      </w:pPr>
      <w:r>
        <w:t>Independent IP valuation and commercial assessment</w:t>
      </w:r>
    </w:p>
    <w:p>
      <w:pPr>
        <w:pStyle w:val="ListNumber"/>
      </w:pPr>
      <w:r>
        <w:t>Patent/IP due diligence and prior-art review</w:t>
      </w:r>
    </w:p>
    <w:p>
      <w:pPr>
        <w:pStyle w:val="ListNumber"/>
      </w:pPr>
      <w:r>
        <w:t>Legal and corporate structuring</w:t>
      </w:r>
    </w:p>
    <w:p>
      <w:pPr>
        <w:pStyle w:val="ListNumber"/>
      </w:pPr>
      <w:r>
        <w:t>Investment agreement</w:t>
      </w:r>
    </w:p>
    <w:p>
      <w:pPr>
        <w:pStyle w:val="ListNumber"/>
      </w:pPr>
      <w:r>
        <w:t>IP license agreement</w:t>
      </w:r>
    </w:p>
    <w:p>
      <w:pPr>
        <w:pStyle w:val="ListNumber"/>
      </w:pPr>
      <w:r>
        <w:t>Development / co-development agreement</w:t>
      </w:r>
    </w:p>
    <w:p>
      <w:pPr>
        <w:pStyle w:val="ListNumber"/>
      </w:pPr>
      <w:r>
        <w:t>Milestone definition and verification</w:t>
      </w:r>
    </w:p>
    <w:p>
      <w:pPr>
        <w:pStyle w:val="ListNumber"/>
      </w:pPr>
      <w:r>
        <w:t>Controlled release and accounting of funds</w:t>
      </w:r>
    </w:p>
    <w:p>
      <w:pPr>
        <w:pStyle w:val="ListNumber"/>
      </w:pPr>
      <w:r>
        <w:t>Royalty, equity and/or revenue accounting</w:t>
      </w:r>
    </w:p>
    <w:p>
      <w:pPr>
        <w:pStyle w:val="ListNumber"/>
      </w:pPr>
      <w:r>
        <w:t>Periodic reporting and governance</w:t>
      </w:r>
    </w:p>
    <w:p>
      <w:pPr>
        <w:pStyle w:val="Heading1"/>
      </w:pPr>
      <w:r>
        <w:t>5. Milestone-Based Rights and Funding</w:t>
      </w:r>
    </w:p>
    <w:p>
      <w:r>
        <w:t>Where appropriate, license rights can be tied to capital commitments and measurable milestones such as patent filing/protection, prototype completion, technical validation, pilot deployment, production readiness and commercial sales. The contract can define consequences if development is stopped or agreed obligations are not met, subject to applicable law and negotiated terms.</w:t>
      </w:r>
    </w:p>
    <w:p>
      <w:pPr>
        <w:pStyle w:val="Heading1"/>
      </w:pPr>
      <w:r>
        <w:t>6. Inventorship and Co-Development</w:t>
      </w:r>
    </w:p>
    <w:p>
      <w:r>
        <w:t>Inventorship and commercial contribution must be treated as separate concepts. Existing inventions should remain attributed to their actual inventors. Investment or commercialization alone does not make an investor or company a patent co-inventor.</w:t>
      </w:r>
    </w:p>
    <w:p>
      <w:r>
        <w:t>For genuinely new inventions arising from defined collaborative R&amp;D, the parties can establish a joint-development framework covering contribution records, inventorship determination, ownership, filing responsibilities, licensing rights, expenses, commercialization rights and economic sharing. Qualified patent and corporate counsel should determine the final structure.</w:t>
      </w:r>
    </w:p>
    <w:p>
      <w:pPr>
        <w:pStyle w:val="Heading1"/>
      </w:pPr>
      <w:r>
        <w:t>7. Economic Value-Sharing</w:t>
      </w:r>
    </w:p>
    <w:p>
      <w:pPr>
        <w:pStyle w:val="ListBullet"/>
      </w:pPr>
      <w:r>
        <w:t>Initial license consideration</w:t>
      </w:r>
    </w:p>
    <w:p>
      <w:pPr>
        <w:pStyle w:val="ListBullet"/>
      </w:pPr>
      <w:r>
        <w:t>Milestone payments</w:t>
      </w:r>
    </w:p>
    <w:p>
      <w:pPr>
        <w:pStyle w:val="ListBullet"/>
      </w:pPr>
      <w:r>
        <w:t>Development funding</w:t>
      </w:r>
    </w:p>
    <w:p>
      <w:pPr>
        <w:pStyle w:val="ListBullet"/>
      </w:pPr>
      <w:r>
        <w:t>Royalties on licensed products or revenue</w:t>
      </w:r>
    </w:p>
    <w:p>
      <w:pPr>
        <w:pStyle w:val="ListBullet"/>
      </w:pPr>
      <w:r>
        <w:t>Equity in the commercialization company where appropriate</w:t>
      </w:r>
    </w:p>
    <w:p>
      <w:pPr>
        <w:pStyle w:val="ListBullet"/>
      </w:pPr>
      <w:r>
        <w:t>Revenue sharing for defined commercial activities</w:t>
      </w:r>
    </w:p>
    <w:p>
      <w:pPr>
        <w:pStyle w:val="ListBullet"/>
      </w:pPr>
      <w:r>
        <w:t>Value attributable to newly created jointly developed IP</w:t>
      </w:r>
    </w:p>
    <w:p>
      <w:pPr>
        <w:pStyle w:val="ListBullet"/>
      </w:pPr>
      <w:r>
        <w:t>Future strategic transaction proceeds according to applicable ownership and contractual rights</w:t>
      </w:r>
    </w:p>
    <w:p>
      <w:r>
        <w:t>Actual valuation, percentages, securities and payment terms should be negotiated with qualified legal, tax, corporate and financial advisers.</w:t>
      </w:r>
    </w:p>
    <w:p>
      <w:pPr>
        <w:pStyle w:val="Heading1"/>
      </w:pPr>
      <w:r>
        <w:t>8. Candidate Assessment Before Capital Raising</w:t>
      </w:r>
    </w:p>
    <w:p>
      <w:r>
        <w:t>The large QAI internal portfolio should not be presented as one undifferentiated package. A controlled funnel is preferable:</w:t>
      </w:r>
    </w:p>
    <w:p>
      <w:pPr>
        <w:pStyle w:val="ListNumber"/>
      </w:pPr>
      <w:r>
        <w:t>2,494+ internal candidates / broader invention pool</w:t>
      </w:r>
    </w:p>
    <w:p>
      <w:pPr>
        <w:pStyle w:val="ListNumber"/>
      </w:pPr>
      <w:r>
        <w:t>Internal technical and IP screening</w:t>
      </w:r>
    </w:p>
    <w:p>
      <w:pPr>
        <w:pStyle w:val="ListNumber"/>
      </w:pPr>
      <w:r>
        <w:t>Approximately 50–100 promising candidates</w:t>
      </w:r>
    </w:p>
    <w:p>
      <w:pPr>
        <w:pStyle w:val="ListNumber"/>
      </w:pPr>
      <w:r>
        <w:t>Confidential professional IP and commercial assessment</w:t>
      </w:r>
    </w:p>
    <w:p>
      <w:pPr>
        <w:pStyle w:val="ListNumber"/>
      </w:pPr>
      <w:r>
        <w:t>Approximately 10–20 candidates</w:t>
      </w:r>
    </w:p>
    <w:p>
      <w:pPr>
        <w:pStyle w:val="ListNumber"/>
      </w:pPr>
      <w:r>
        <w:t>Patent, market, investment and development assessment</w:t>
      </w:r>
    </w:p>
    <w:p>
      <w:pPr>
        <w:pStyle w:val="ListNumber"/>
      </w:pPr>
      <w:r>
        <w:t>Approximately 5–10 priority technology families</w:t>
      </w:r>
    </w:p>
    <w:p>
      <w:pPr>
        <w:pStyle w:val="ListNumber"/>
      </w:pPr>
      <w:r>
        <w:t>Protection + capital + development</w:t>
      </w:r>
    </w:p>
    <w:p>
      <w:pPr>
        <w:pStyle w:val="ListNumber"/>
      </w:pPr>
      <w:r>
        <w:t>Commercialization and potential strategic transactions</w:t>
      </w:r>
    </w:p>
    <w:p>
      <w:pPr>
        <w:pStyle w:val="Heading1"/>
      </w:pPr>
      <w:r>
        <w:t>9. M&amp;A Readiness</w:t>
      </w:r>
    </w:p>
    <w:p>
      <w:r>
        <w:t>M&amp;A should be considered a later exit or strategic scaling option after sufficient evidence exists. An acquiring company may evaluate not only patents but also working technology, software, know-how, architecture, development capability, customers, pilots, contracts, market opportunity and the commercialization team.</w:t>
      </w:r>
    </w:p>
    <w:p>
      <w:r>
        <w:t>The assessment package should therefore support both investment due diligence and future M&amp;A due diligence.</w:t>
      </w:r>
    </w:p>
    <w:p>
      <w:pPr>
        <w:pStyle w:val="Heading1"/>
      </w:pPr>
      <w:r>
        <w:t>10. M&amp;A / Investment Readiness Evidence Pack</w:t>
      </w:r>
    </w:p>
    <w:p>
      <w:pPr>
        <w:pStyle w:val="ListBullet"/>
      </w:pPr>
      <w:r>
        <w:t>IP ownership and chain of title</w:t>
      </w:r>
    </w:p>
    <w:p>
      <w:pPr>
        <w:pStyle w:val="ListBullet"/>
      </w:pPr>
      <w:r>
        <w:t>Patent filings and protection strategy</w:t>
      </w:r>
    </w:p>
    <w:p>
      <w:pPr>
        <w:pStyle w:val="ListBullet"/>
      </w:pPr>
      <w:r>
        <w:t>Prior-art and competitive assessment</w:t>
      </w:r>
    </w:p>
    <w:p>
      <w:pPr>
        <w:pStyle w:val="ListBullet"/>
      </w:pPr>
      <w:r>
        <w:t>Technical differentiation</w:t>
      </w:r>
    </w:p>
    <w:p>
      <w:pPr>
        <w:pStyle w:val="ListBullet"/>
      </w:pPr>
      <w:r>
        <w:t>Technology readiness / maturity</w:t>
      </w:r>
    </w:p>
    <w:p>
      <w:pPr>
        <w:pStyle w:val="ListBullet"/>
      </w:pPr>
      <w:r>
        <w:t>Product and application definition</w:t>
      </w:r>
    </w:p>
    <w:p>
      <w:pPr>
        <w:pStyle w:val="ListBullet"/>
      </w:pPr>
      <w:r>
        <w:t>Target markets and customer problem</w:t>
      </w:r>
    </w:p>
    <w:p>
      <w:pPr>
        <w:pStyle w:val="ListBullet"/>
      </w:pPr>
      <w:r>
        <w:t>Competitive landscape</w:t>
      </w:r>
    </w:p>
    <w:p>
      <w:pPr>
        <w:pStyle w:val="ListBullet"/>
      </w:pPr>
      <w:r>
        <w:t>Potential licensees, partners and strategic acquirers</w:t>
      </w:r>
    </w:p>
    <w:p>
      <w:pPr>
        <w:pStyle w:val="ListBullet"/>
      </w:pPr>
      <w:r>
        <w:t>Development roadmap</w:t>
      </w:r>
    </w:p>
    <w:p>
      <w:pPr>
        <w:pStyle w:val="ListBullet"/>
      </w:pPr>
      <w:r>
        <w:t>Capital requirement</w:t>
      </w:r>
    </w:p>
    <w:p>
      <w:pPr>
        <w:pStyle w:val="ListBullet"/>
      </w:pPr>
      <w:r>
        <w:t>Revenue and licensing model</w:t>
      </w:r>
    </w:p>
    <w:p>
      <w:pPr>
        <w:pStyle w:val="ListBullet"/>
      </w:pPr>
      <w:r>
        <w:t>Strategic synergies</w:t>
      </w:r>
    </w:p>
    <w:p>
      <w:pPr>
        <w:pStyle w:val="ListBullet"/>
      </w:pPr>
      <w:r>
        <w:t>Technical, IP, regulatory and market risks</w:t>
      </w:r>
    </w:p>
    <w:p>
      <w:pPr>
        <w:pStyle w:val="ListBullet"/>
      </w:pPr>
      <w:r>
        <w:t>Pilot, PoC, benchmark and customer evidence</w:t>
      </w:r>
    </w:p>
    <w:p>
      <w:pPr>
        <w:pStyle w:val="ListBullet"/>
      </w:pPr>
      <w:r>
        <w:t>Founder / QAI Lab role</w:t>
      </w:r>
    </w:p>
    <w:p>
      <w:pPr>
        <w:pStyle w:val="ListBullet"/>
      </w:pPr>
      <w:r>
        <w:t>Data-room and confidentiality protocol</w:t>
      </w:r>
    </w:p>
    <w:p>
      <w:pPr>
        <w:pStyle w:val="ListBullet"/>
      </w:pPr>
      <w:r>
        <w:t>Transaction and exit scenarios</w:t>
      </w:r>
    </w:p>
    <w:p>
      <w:pPr>
        <w:pStyle w:val="Heading1"/>
      </w:pPr>
      <w:r>
        <w:t>11. Role of an Integrated IP Commercialization Adviser</w:t>
      </w:r>
    </w:p>
    <w:p>
      <w:r>
        <w:t>An integrated adviser such as Integrated IP (IIP) could potentially be approached for an assessment covering patent/IP strategy, valuation, commercialization, licensing/dealmaking and capital-raising support. Its publicly described capabilities should be verified directly before relying on it for any specific financing structure.</w:t>
      </w:r>
    </w:p>
    <w:p>
      <w:r>
        <w:t>Key questions include whether it performs an initial portfolio assessment, whether assessment can be conducted under NDA, whether fees can be staged or deferred, whether it introduces third-party capital, whether investors can fund patenting/development, how economic interests are structured, and who owns resulting valuation or commercialization materials.</w:t>
      </w:r>
    </w:p>
    <w:p>
      <w:pPr>
        <w:pStyle w:val="Heading1"/>
      </w:pPr>
      <w:r>
        <w:t>12. Recommended Overall QAI Lifecycle</w:t>
      </w:r>
    </w:p>
    <w:p>
      <w:r>
        <w:t>IP discovery → candidate assessment → independent valuation/due diligence → capital raising → controlled initial license → funded development → co-development/new IP → performance and revenue → royalties/equity/value sharing → optional M&amp;A/JV/strategic exit.</w:t>
      </w:r>
    </w:p>
    <w:p>
      <w:pPr>
        <w:pStyle w:val="Heading1"/>
      </w:pPr>
      <w:r>
        <w:t>13. Strategic Principle</w:t>
      </w:r>
    </w:p>
    <w:p>
      <w:r>
        <w:t>The key principle is to convert selected QAI IP into a controlled, evidence-based investment opportunity without prematurely giving away the broader portfolio. Capital should be linked to clearly defined rights and development obligations, while new jointly created IP should be governed by explicit inventorship and ownership rules.</w:t>
      </w:r>
    </w:p>
    <w:p>
      <w:pPr>
        <w:pStyle w:val="Heading1"/>
      </w:pPr>
      <w:r>
        <w:t>14. Important Legal Note</w:t>
      </w:r>
    </w:p>
    <w:p>
      <w:r>
        <w:t>This framework is a strategic transaction model, not legal, tax, securities or investment advice. Any actual transaction involving patents, licenses, equity, investment capital, royalties, cross-border transfers or co-developed IP should be reviewed and documented by appropriately qualified counsel and financial/tax advisers in the relevant jurisdictions.</w:t>
      </w:r>
    </w:p>
    <w:p>
      <w:pPr>
        <w:pStyle w:val="Heading1"/>
      </w:pPr>
      <w:r>
        <w:t>15. Reference Basis</w:t>
      </w:r>
    </w:p>
    <w:p>
      <w:pPr>
        <w:pStyle w:val="ListBullet"/>
      </w:pPr>
      <w:r>
        <w:t>IP Australia — How to commercialise my IP</w:t>
      </w:r>
    </w:p>
    <w:p>
      <w:pPr>
        <w:pStyle w:val="ListBullet"/>
      </w:pPr>
      <w:r>
        <w:t>IP Australia — Licence royalties</w:t>
      </w:r>
    </w:p>
    <w:p>
      <w:pPr>
        <w:pStyle w:val="ListBullet"/>
      </w:pPr>
      <w:r>
        <w:t>IP Australia — Why it’s important to value IP</w:t>
      </w:r>
    </w:p>
    <w:p>
      <w:pPr>
        <w:pStyle w:val="ListBullet"/>
      </w:pPr>
      <w:r>
        <w:t>IP Australia — Engaging a patent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