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QAI Inventor Credibility &amp; Public–Private Commercialisation Strategy</w:t>
      </w:r>
    </w:p>
    <w:p>
      <w:pPr>
        <w:jc w:val="center"/>
      </w:pPr>
      <w:r>
        <w:rPr>
          <w:i/>
        </w:rPr>
        <w:t>Independent Inventor → Validated IP → Public/Private Funding → Commercialisation</w:t>
      </w:r>
    </w:p>
    <w:p>
      <w:pPr>
        <w:pStyle w:val="Heading1"/>
      </w:pPr>
      <w:r>
        <w:t>1. Strategic Situation</w:t>
      </w:r>
    </w:p>
    <w:p>
      <w:r>
        <w:t>The challenge is not simply patent filing. As an independent inventor, the key challenge is converting a substantial technology and IP portfolio into an independently assessable and investable opportunity without personally financing the entire patenting and commercialization process. Established universities, MNCs and funded startups often begin with institutional credibility, grants, laboratories, legal teams, investors and commercialization offices. An independent inventor must build equivalent credibility through documented evidence, independent assessment and appropriate commercialization partners.</w:t>
      </w:r>
    </w:p>
    <w:p>
      <w:pPr>
        <w:pStyle w:val="Heading1"/>
      </w:pPr>
      <w:r>
        <w:t>2. Objective: Build Investment Credibility</w:t>
      </w:r>
    </w:p>
    <w:p>
      <w:r>
        <w:t>The objective is not merely to prove that the inventor is 'worthy'. The stronger objective is to build a credible, independently assessable investment case around the inventor, the IP, the technology and the commercialization opportunity.</w:t>
      </w:r>
    </w:p>
    <w:p>
      <w:pPr>
        <w:pStyle w:val="Heading1"/>
      </w:pPr>
      <w:r>
        <w:t>3. Credibility Evidence Stack</w:t>
      </w:r>
    </w:p>
    <w:p>
      <w:r>
        <w:t>Inventor credibility: technical/research history, professional memberships and qualifications, documented development work and sustained R&amp;D.</w:t>
        <w:br/>
        <w:br/>
        <w:t>IP credibility: structured invention catalogue, ownership/chain-of-title evidence, preliminary patentability assessment, prior-art searches and selected invention families.</w:t>
        <w:br/>
        <w:br/>
        <w:t>Technology credibility: working PoCs, demonstrations, benchmarks, technology-readiness assessment and product roadmaps.</w:t>
        <w:br/>
        <w:br/>
        <w:t>Commercial credibility: identified customer problems, target industries, market analysis, prospective partners/licensees and manufacturing pathways.</w:t>
        <w:br/>
        <w:br/>
        <w:t>Investment credibility: independent assessment/valuation, capital requirement, milestone plan, proposed IP licensing structure, investor protections and commercialization plan.</w:t>
      </w:r>
    </w:p>
    <w:p>
      <w:pPr>
        <w:pStyle w:val="Heading1"/>
      </w:pPr>
      <w:r>
        <w:t>4. Public–Private Innovation Bridge</w:t>
      </w:r>
    </w:p>
    <w:p>
      <w:r>
        <w:t>Preferred model: Independent Inventor / Bhadale IT → IP &amp; Technical Assessment → Commercialization Partner → Government / Investor Funding → Australian Commercialization Entity or Project → Co-development → Products → Revenue / Exports.</w:t>
        <w:br/>
        <w:br/>
        <w:t>The Australian connection should be established through an eligible project, partner or commercialization structure where appropriate. A company should not be created solely to create the appearance of an Australian presence; the appropriate structure should follow the requirements of the particular funding or commercialization pathway.</w:t>
      </w:r>
    </w:p>
    <w:p>
      <w:pPr>
        <w:pStyle w:val="Heading1"/>
      </w:pPr>
      <w:r>
        <w:t>5. Open Innovation Opportunity</w:t>
      </w:r>
    </w:p>
    <w:p>
      <w:r>
        <w:t>Open innovation is relevant because government, industry, research organizations, startups, investors and independent innovators can contribute different parts of the commercialization system. The availability of public support depends on each program's eligibility, applicant, location, matching-funding and project requirements. The strategy is therefore to identify programs and mechanisms that can connect validated external technology/IP with Australian research, commercialization, industry and investment ecosystems.</w:t>
      </w:r>
    </w:p>
    <w:p>
      <w:pPr>
        <w:pStyle w:val="Heading1"/>
      </w:pPr>
      <w:r>
        <w:t>6. Deal-Maker / Opportunity-Hunter Requirement</w:t>
      </w:r>
    </w:p>
    <w:p>
      <w:r>
        <w:t>The required partner is not simply a patent attorney. The preferred organization should bridge the credibility and funding gap between an independent inventor and institutional capital. Desired capabilities include IP assessment, patentability and commercial assessment, candidate selection, commercialization planning, government-program identification, investor introductions, capital-raising support, licensing/co-development and transaction coordination.</w:t>
      </w:r>
    </w:p>
    <w:p>
      <w:pPr>
        <w:pStyle w:val="Heading1"/>
      </w:pPr>
      <w:r>
        <w:t>7. Initial Conversation</w:t>
      </w:r>
    </w:p>
    <w:p>
      <w:r>
        <w:t>A strong opening proposition is: “I am not asking you to accept the value of a large patent portfolio on trust. I am asking you to independently assess a representative subset of the portfolio and determine whether it contains commercially defensible technology worth protecting and developing in Australia.”</w:t>
        <w:br/>
        <w:br/>
        <w:t>If the assessment is positive, the next question becomes: “What funding mechanism can take these selected inventions from IP protection through commercialization?”</w:t>
      </w:r>
    </w:p>
    <w:p>
      <w:pPr>
        <w:pStyle w:val="Heading1"/>
      </w:pPr>
      <w:r>
        <w:t>8. QAI Inventor Credibility Package</w:t>
      </w:r>
    </w:p>
    <w:p>
      <w:r>
        <w:t>1. Founder / Inventor Profile</w:t>
        <w:br/>
        <w:t>2. QAI Technology Portfolio Overview</w:t>
        <w:br/>
        <w:t>3. Selected Technology Families</w:t>
        <w:br/>
        <w:t>4. Evidence of Prior R&amp;D and Prototypes</w:t>
        <w:br/>
        <w:t>5. IP Ownership &amp; Protection Strategy</w:t>
        <w:br/>
        <w:t>6. Commercialization &amp; Product Roadmap</w:t>
        <w:br/>
        <w:t>7. Capital Requirement &amp; Milestones</w:t>
        <w:br/>
        <w:t>8. Public–Private Commercialization Proposal</w:t>
        <w:br/>
        <w:br/>
        <w:t>The package should not expose the entire unpublished invention catalogue at the initial stage. Sensitive technical details should be disclosed progressively under an appropriate confidentiality and IP-protection strategy.</w:t>
      </w:r>
    </w:p>
    <w:p>
      <w:pPr>
        <w:pStyle w:val="Heading1"/>
      </w:pPr>
      <w:r>
        <w:t>9. Suggested Closing Proposition</w:t>
      </w:r>
    </w:p>
    <w:p>
      <w:r>
        <w:t>“Seeking an Australian commercialization partner capable of independently assessing selected QAI inventions and connecting validated opportunities with appropriate public innovation programs, private investment and co-development partners.”</w:t>
      </w:r>
    </w:p>
    <w:p>
      <w:pPr>
        <w:pStyle w:val="Heading1"/>
      </w:pPr>
      <w:r>
        <w:t>10. Portfolio Selection Principle</w:t>
      </w:r>
    </w:p>
    <w:p>
      <w:r>
        <w:t>The objective is not to convince every stakeholder that all 1,000+ potential patent candidates are immediately valuable. The objective is to establish a credible process through which an independent professional can identify which technology families deserve the first investment.</w:t>
        <w:br/>
        <w:br/>
        <w:t>Controlled pathway: Portfolio → Assessment → Selected IP → Funding → Protection → Co-development → Products → Revenue → Reinvestment.</w:t>
      </w:r>
    </w:p>
    <w:p>
      <w:pPr>
        <w:pStyle w:val="Heading1"/>
      </w:pPr>
      <w:r>
        <w:t>11. Strategic Outcome</w:t>
      </w:r>
    </w:p>
    <w:p>
      <w:r>
        <w:t>The goal is to transform inventor credibility into institutional investment credibility. Independent assessment, professional commercialization support and transparent funding milestones can provide the evidence layer needed to connect QAI technology with government innovation mechanisms, investors, strategic partners and commercialization companies.</w:t>
      </w:r>
    </w:p>
    <w:p>
      <w:pPr>
        <w:pStyle w:val="Heading1"/>
      </w:pPr>
      <w:r>
        <w:t>12. Important Qualification</w:t>
      </w:r>
    </w:p>
    <w:p>
      <w:r>
        <w:t>Government programs and private financing are subject to eligibility, due diligence, commercial viability, legal and financial requirements. No funding, patent grant, investment or commercialization outcome should be assumed in advance. Actual structures should be reviewed by appropriately qualified Australian and relevant-jurisdiction advisers.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