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QAI AGRICULTURE PILOT</w:t>
        <w:br/>
        <w:t>RFP / PROPOSAL RESPONSE</w:t>
      </w:r>
    </w:p>
    <w:p>
      <w:pPr>
        <w:jc w:val="center"/>
      </w:pPr>
      <w:r>
        <w:t>Azure-first Edge → Datacenter → Hybrid QAI Feasibility Demonstration</w:t>
      </w:r>
    </w:p>
    <w:p>
      <w:pPr>
        <w:jc w:val="center"/>
      </w:pPr>
      <w:r>
        <w:t>Indicative pilot proposal • Working commercial and assurance framework • Subject to site assessment and final RFI/RFP</w:t>
      </w:r>
    </w:p>
    <w:p>
      <w:pPr>
        <w:pStyle w:val="Heading1"/>
      </w:pPr>
      <w:r>
        <w:t>1. Executive Response</w:t>
      </w:r>
    </w:p>
    <w:p>
      <w:r>
        <w:rPr>
          <w:b w:val="0"/>
        </w:rPr>
        <w:t>We propose a low-risk, staged QAI agriculture pilot that allows a farmer or agricultural organisation to evaluate the feasibility and practical merit of a hybrid QAI architecture before making a larger technology investment.</w:t>
      </w:r>
    </w:p>
    <w:p>
      <w:r>
        <w:rPr>
          <w:b w:val="0"/>
        </w:rPr>
        <w:t>The pilot combines field sensors and devices, edge computing, secure connectivity, an Azure-first QAI Datacenter environment, AI/ML and classical processing, and an optional quantum execution path. The architecture is designed so that quantum processing is used only for selected workload segments where measurable benefit can be demonstrated.</w:t>
      </w:r>
    </w:p>
    <w:p>
      <w:r>
        <w:rPr>
          <w:b w:val="0"/>
        </w:rPr>
        <w:t>The initial objective is therefore not to sell a large production system. It is to establish a controlled evidence base for the customer's particular farm, operating model and business objectives.</w:t>
      </w:r>
    </w:p>
    <w:p>
      <w:pPr>
        <w:pStyle w:val="Heading1"/>
      </w:pPr>
      <w:r>
        <w:t>2. Customer Outcomes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Outcome</w:t>
            </w:r>
          </w:p>
        </w:tc>
        <w:tc>
          <w:tcPr>
            <w:tcW w:type="dxa" w:w="5112"/>
            <w:vAlign w:val="center"/>
          </w:tcPr>
          <w:p>
            <w:r>
              <w:rPr>
                <w:b/>
              </w:rPr>
              <w:t>What the pilot demonstrates</w:t>
            </w:r>
          </w:p>
        </w:tc>
      </w:tr>
      <w:tr>
        <w:tc>
          <w:tcPr>
            <w:tcW w:type="dxa" w:w="5112"/>
            <w:vAlign w:val="top"/>
          </w:tcPr>
          <w:p>
            <w:r>
              <w:t>Feasibility</w:t>
            </w:r>
          </w:p>
        </w:tc>
        <w:tc>
          <w:tcPr>
            <w:tcW w:type="dxa" w:w="5112"/>
            <w:vAlign w:val="top"/>
          </w:tcPr>
          <w:p>
            <w:r>
              <w:t>Whether the proposed QAI architecture can operate under the customer's field conditions.</w:t>
            </w:r>
          </w:p>
        </w:tc>
      </w:tr>
      <w:tr>
        <w:tc>
          <w:tcPr>
            <w:tcW w:type="dxa" w:w="5112"/>
            <w:vAlign w:val="top"/>
          </w:tcPr>
          <w:p>
            <w:r>
              <w:t>Operational value</w:t>
            </w:r>
          </w:p>
        </w:tc>
        <w:tc>
          <w:tcPr>
            <w:tcW w:type="dxa" w:w="5112"/>
            <w:vAlign w:val="top"/>
          </w:tcPr>
          <w:p>
            <w:r>
              <w:t>Whether local sensing, edge inference, data fusion and cloud analytics improve selected decisions.</w:t>
            </w:r>
          </w:p>
        </w:tc>
      </w:tr>
      <w:tr>
        <w:tc>
          <w:tcPr>
            <w:tcW w:type="dxa" w:w="5112"/>
            <w:vAlign w:val="top"/>
          </w:tcPr>
          <w:p>
            <w:r>
              <w:t>Technical value</w:t>
            </w:r>
          </w:p>
        </w:tc>
        <w:tc>
          <w:tcPr>
            <w:tcW w:type="dxa" w:w="5112"/>
            <w:vAlign w:val="top"/>
          </w:tcPr>
          <w:p>
            <w:r>
              <w:t>Latency, reliability, data reduction, inference quality and resource utilization.</w:t>
            </w:r>
          </w:p>
        </w:tc>
      </w:tr>
      <w:tr>
        <w:tc>
          <w:tcPr>
            <w:tcW w:type="dxa" w:w="5112"/>
            <w:vAlign w:val="top"/>
          </w:tcPr>
          <w:p>
            <w:r>
              <w:t>QAI merit</w:t>
            </w:r>
          </w:p>
        </w:tc>
        <w:tc>
          <w:tcPr>
            <w:tcW w:type="dxa" w:w="5112"/>
            <w:vAlign w:val="top"/>
          </w:tcPr>
          <w:p>
            <w:r>
              <w:t>Comparison of classical, quantum-inspired and hybrid execution, with quantum used selectively.</w:t>
            </w:r>
          </w:p>
        </w:tc>
      </w:tr>
      <w:tr>
        <w:tc>
          <w:tcPr>
            <w:tcW w:type="dxa" w:w="5112"/>
            <w:vAlign w:val="top"/>
          </w:tcPr>
          <w:p>
            <w:r>
              <w:t>Investment confidence</w:t>
            </w:r>
          </w:p>
        </w:tc>
        <w:tc>
          <w:tcPr>
            <w:tcW w:type="dxa" w:w="5112"/>
            <w:vAlign w:val="top"/>
          </w:tcPr>
          <w:p>
            <w:r>
              <w:t>Evidence and detailed requirements before larger deployment.</w:t>
            </w:r>
          </w:p>
        </w:tc>
      </w:tr>
      <w:tr>
        <w:tc>
          <w:tcPr>
            <w:tcW w:type="dxa" w:w="5112"/>
            <w:vAlign w:val="top"/>
          </w:tcPr>
          <w:p>
            <w:r>
              <w:t>Scalability</w:t>
            </w:r>
          </w:p>
        </w:tc>
        <w:tc>
          <w:tcPr>
            <w:tcW w:type="dxa" w:w="5112"/>
            <w:vAlign w:val="top"/>
          </w:tcPr>
          <w:p>
            <w:r>
              <w:t>How the pilot can expand to additional fields, sensors, edge nodes and workloads.</w:t>
            </w:r>
          </w:p>
        </w:tc>
      </w:tr>
      <w:tr>
        <w:tc>
          <w:tcPr>
            <w:tcW w:type="dxa" w:w="5112"/>
            <w:vAlign w:val="top"/>
          </w:tcPr>
          <w:p>
            <w:r>
              <w:t>Risk reduction</w:t>
            </w:r>
          </w:p>
        </w:tc>
        <w:tc>
          <w:tcPr>
            <w:tcW w:type="dxa" w:w="5112"/>
            <w:vAlign w:val="top"/>
          </w:tcPr>
          <w:p>
            <w:r>
              <w:t>Known limitations, dependencies, approvals and operational constraints are identified before scale-up.</w:t>
            </w:r>
          </w:p>
        </w:tc>
      </w:tr>
    </w:tbl>
    <w:p>
      <w:pPr>
        <w:pStyle w:val="Heading1"/>
      </w:pPr>
      <w:r>
        <w:t>3. Proposed Reference Architecture</w:t>
      </w:r>
    </w:p>
    <w:p>
      <w:r>
        <w:rPr>
          <w:b w:val="0"/>
        </w:rPr>
        <w:t>The pilot follows the established QAI stack:</w:t>
      </w:r>
    </w:p>
    <w:p>
      <w:r>
        <w:rPr>
          <w:b w:val="0"/>
        </w:rPr>
        <w:t>SENSORS → EDGE → QAI NETWORK → AZURE QAI DATACENTER → QAI CONTROL PLANE → QAI PIPELINE → QAI RUNTIME → CLASSICAL / AI / QAI / OPTIONAL QUANTUM → RESULT FUSION → CLOSED-LOOP DECISION → FIELD.</w:t>
      </w:r>
    </w:p>
    <w:p>
      <w:pPr>
        <w:pStyle w:val="ListBullet"/>
      </w:pPr>
      <w:r>
        <w:t>Physical and logical separation: logical QAI components may share infrastructure or be distributed across several assets.</w:t>
      </w:r>
    </w:p>
    <w:p>
      <w:pPr>
        <w:pStyle w:val="ListBullet"/>
      </w:pPr>
      <w:r>
        <w:t>Provider-neutral QAI architecture: Azure is the first deployment platform; provider-specific capabilities are isolated behind adapters.</w:t>
      </w:r>
    </w:p>
    <w:p>
      <w:pPr>
        <w:pStyle w:val="ListBullet"/>
      </w:pPr>
      <w:r>
        <w:t>Edge-first operation where latency, autonomy, privacy or data-volume reduction justify local processing.</w:t>
      </w:r>
    </w:p>
    <w:p>
      <w:pPr>
        <w:pStyle w:val="ListBullet"/>
      </w:pPr>
      <w:r>
        <w:t>Cloud/datacenter processing for larger models, historical context, cross-site analysis and orchestration.</w:t>
      </w:r>
    </w:p>
    <w:p>
      <w:pPr>
        <w:pStyle w:val="ListBullet"/>
      </w:pPr>
      <w:r>
        <w:t>Selective quantum execution through a controlled adapter; the core farm operation does not depend on a QPU.</w:t>
      </w:r>
    </w:p>
    <w:p>
      <w:pPr>
        <w:pStyle w:val="Heading1"/>
      </w:pPr>
      <w:r>
        <w:t>4. Minimum Pilot Scope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Zone</w:t>
            </w:r>
          </w:p>
        </w:tc>
        <w:tc>
          <w:tcPr>
            <w:tcW w:type="dxa" w:w="5112"/>
            <w:vAlign w:val="center"/>
          </w:tcPr>
          <w:p>
            <w:r>
              <w:rPr>
                <w:b/>
              </w:rPr>
              <w:t>Minimum realization</w:t>
            </w:r>
          </w:p>
        </w:tc>
      </w:tr>
      <w:tr>
        <w:tc>
          <w:tcPr>
            <w:tcW w:type="dxa" w:w="5112"/>
            <w:vAlign w:val="top"/>
          </w:tcPr>
          <w:p>
            <w:r>
              <w:t>Farm / greenhouse</w:t>
            </w:r>
          </w:p>
        </w:tc>
        <w:tc>
          <w:tcPr>
            <w:tcW w:type="dxa" w:w="5112"/>
            <w:vAlign w:val="top"/>
          </w:tcPr>
          <w:p>
            <w:r>
              <w:t>Soil/environment sensing, weather, water/irrigation measurement and one vision source as appropriate.</w:t>
            </w:r>
          </w:p>
        </w:tc>
      </w:tr>
      <w:tr>
        <w:tc>
          <w:tcPr>
            <w:tcW w:type="dxa" w:w="5112"/>
            <w:vAlign w:val="top"/>
          </w:tcPr>
          <w:p>
            <w:r>
              <w:t>Farm house / site</w:t>
            </w:r>
          </w:p>
        </w:tc>
        <w:tc>
          <w:tcPr>
            <w:tcW w:type="dxa" w:w="5112"/>
            <w:vAlign w:val="top"/>
          </w:tcPr>
          <w:p>
            <w:r>
              <w:t>Linux edge computer, local storage, gateway, LAN and WAN connectivity, UPS.</w:t>
            </w:r>
          </w:p>
        </w:tc>
      </w:tr>
      <w:tr>
        <w:tc>
          <w:tcPr>
            <w:tcW w:type="dxa" w:w="5112"/>
            <w:vAlign w:val="top"/>
          </w:tcPr>
          <w:p>
            <w:r>
              <w:t>Azure</w:t>
            </w:r>
          </w:p>
        </w:tc>
        <w:tc>
          <w:tcPr>
            <w:tcW w:type="dxa" w:w="5112"/>
            <w:vAlign w:val="top"/>
          </w:tcPr>
          <w:p>
            <w:r>
              <w:t>Resource group, network, compute/container environment, storage, state/telemetry, security/secrets and monitoring.</w:t>
            </w:r>
          </w:p>
        </w:tc>
      </w:tr>
      <w:tr>
        <w:tc>
          <w:tcPr>
            <w:tcW w:type="dxa" w:w="5112"/>
            <w:vAlign w:val="top"/>
          </w:tcPr>
          <w:p>
            <w:r>
              <w:t>QAI software</w:t>
            </w:r>
          </w:p>
        </w:tc>
        <w:tc>
          <w:tcPr>
            <w:tcW w:type="dxa" w:w="5112"/>
            <w:vAlign w:val="top"/>
          </w:tcPr>
          <w:p>
            <w:r>
              <w:t>Control Plane, Pipeline, Runtime, Edge Runtime, inference/fusion modules, adapters and benchmark framework.</w:t>
            </w:r>
          </w:p>
        </w:tc>
      </w:tr>
      <w:tr>
        <w:tc>
          <w:tcPr>
            <w:tcW w:type="dxa" w:w="5112"/>
            <w:vAlign w:val="top"/>
          </w:tcPr>
          <w:p>
            <w:r>
              <w:t>Quantum</w:t>
            </w:r>
          </w:p>
        </w:tc>
        <w:tc>
          <w:tcPr>
            <w:tcW w:type="dxa" w:w="5112"/>
            <w:vAlign w:val="top"/>
          </w:tcPr>
          <w:p>
            <w:r>
              <w:t>Optional QPU/API test using an existing compatible access path after the classical baseline is established.</w:t>
            </w:r>
          </w:p>
        </w:tc>
      </w:tr>
    </w:tbl>
    <w:p>
      <w:pPr>
        <w:pStyle w:val="Heading1"/>
      </w:pPr>
      <w:r>
        <w:t>5. Pilot Work Packages</w:t>
      </w:r>
    </w:p>
    <w:p>
      <w:pPr>
        <w:pStyle w:val="ListNumber"/>
      </w:pPr>
      <w:r>
        <w:t>Site discovery and workload definition.</w:t>
      </w:r>
    </w:p>
    <w:p>
      <w:pPr>
        <w:pStyle w:val="ListNumber"/>
      </w:pPr>
      <w:r>
        <w:t>Physical/logical architecture confirmation.</w:t>
      </w:r>
    </w:p>
    <w:p>
      <w:pPr>
        <w:pStyle w:val="ListNumber"/>
      </w:pPr>
      <w:r>
        <w:t>Asset selection and procurement/RFI.</w:t>
      </w:r>
    </w:p>
    <w:p>
      <w:pPr>
        <w:pStyle w:val="ListNumber"/>
      </w:pPr>
      <w:r>
        <w:t>Farm sensor and edge installation.</w:t>
      </w:r>
    </w:p>
    <w:p>
      <w:pPr>
        <w:pStyle w:val="ListNumber"/>
      </w:pPr>
      <w:r>
        <w:t>Azure environment provisioning.</w:t>
      </w:r>
    </w:p>
    <w:p>
      <w:pPr>
        <w:pStyle w:val="ListNumber"/>
      </w:pPr>
      <w:r>
        <w:t>QAI Edge Runtime and inference/fusion deployment.</w:t>
      </w:r>
    </w:p>
    <w:p>
      <w:pPr>
        <w:pStyle w:val="ListNumber"/>
      </w:pPr>
      <w:r>
        <w:t>QAI Control Plane → Pipeline → Runtime integration.</w:t>
      </w:r>
    </w:p>
    <w:p>
      <w:pPr>
        <w:pStyle w:val="ListNumber"/>
      </w:pPr>
      <w:r>
        <w:t>Secure field-to-cloud communication.</w:t>
      </w:r>
    </w:p>
    <w:p>
      <w:pPr>
        <w:pStyle w:val="ListNumber"/>
      </w:pPr>
      <w:r>
        <w:t>Open-loop baseline measurement.</w:t>
      </w:r>
    </w:p>
    <w:p>
      <w:pPr>
        <w:pStyle w:val="ListNumber"/>
      </w:pPr>
      <w:r>
        <w:t>Closed-loop QAI measurement and adaptation.</w:t>
      </w:r>
    </w:p>
    <w:p>
      <w:pPr>
        <w:pStyle w:val="ListNumber"/>
      </w:pPr>
      <w:r>
        <w:t>Optional quantum workload experiment.</w:t>
      </w:r>
    </w:p>
    <w:p>
      <w:pPr>
        <w:pStyle w:val="ListNumber"/>
      </w:pPr>
      <w:r>
        <w:t>Final technical, assurance and commercial feasibility report.</w:t>
      </w:r>
    </w:p>
    <w:p>
      <w:pPr>
        <w:pStyle w:val="Heading1"/>
      </w:pPr>
      <w:r>
        <w:t>6. Assurance and Evidence Framework</w:t>
      </w:r>
    </w:p>
    <w:p>
      <w:r>
        <w:rPr>
          <w:b w:val="0"/>
        </w:rPr>
        <w:t>Farmer confidence should be established through progressively stronger evidence rather than through a generic claim that the entire QAI system is 'approved'. Different components and use cases may have different regulatory, safety or certification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Evidence level</w:t>
            </w:r>
          </w:p>
        </w:tc>
        <w:tc>
          <w:tcPr>
            <w:tcW w:type="dxa" w:w="3408"/>
            <w:vAlign w:val="center"/>
          </w:tcPr>
          <w:p>
            <w:r>
              <w:rPr>
                <w:b/>
              </w:rPr>
              <w:t>Evidence</w:t>
            </w:r>
          </w:p>
        </w:tc>
        <w:tc>
          <w:tcPr>
            <w:tcW w:type="dxa" w:w="3408"/>
            <w:vAlign w:val="center"/>
          </w:tcPr>
          <w:p>
            <w:r>
              <w:rPr>
                <w:b/>
              </w:rPr>
              <w:t>Purpose</w:t>
            </w:r>
          </w:p>
        </w:tc>
      </w:tr>
      <w:tr>
        <w:tc>
          <w:tcPr>
            <w:tcW w:type="dxa" w:w="3408"/>
            <w:vAlign w:val="top"/>
          </w:tcPr>
          <w:p>
            <w:r>
              <w:t>1. QAI Lab</w:t>
            </w:r>
          </w:p>
        </w:tc>
        <w:tc>
          <w:tcPr>
            <w:tcW w:type="dxa" w:w="3408"/>
            <w:vAlign w:val="top"/>
          </w:tcPr>
          <w:p>
            <w:r>
              <w:t>Existing internal QAI tests, simulations and benchmarks</w:t>
            </w:r>
          </w:p>
        </w:tc>
        <w:tc>
          <w:tcPr>
            <w:tcW w:type="dxa" w:w="3408"/>
            <w:vAlign w:val="top"/>
          </w:tcPr>
          <w:p>
            <w:r>
              <w:t>Establish engineering baseline and repeatability.</w:t>
            </w:r>
          </w:p>
        </w:tc>
      </w:tr>
      <w:tr>
        <w:tc>
          <w:tcPr>
            <w:tcW w:type="dxa" w:w="3408"/>
            <w:vAlign w:val="top"/>
          </w:tcPr>
          <w:p>
            <w:r>
              <w:t>2. Controlled pilot</w:t>
            </w:r>
          </w:p>
        </w:tc>
        <w:tc>
          <w:tcPr>
            <w:tcW w:type="dxa" w:w="3408"/>
            <w:vAlign w:val="top"/>
          </w:tcPr>
          <w:p>
            <w:r>
              <w:t>Real sensors, edge devices and defined farm workload</w:t>
            </w:r>
          </w:p>
        </w:tc>
        <w:tc>
          <w:tcPr>
            <w:tcW w:type="dxa" w:w="3408"/>
            <w:vAlign w:val="top"/>
          </w:tcPr>
          <w:p>
            <w:r>
              <w:t>Demonstrate operation in realistic conditions.</w:t>
            </w:r>
          </w:p>
        </w:tc>
      </w:tr>
      <w:tr>
        <w:tc>
          <w:tcPr>
            <w:tcW w:type="dxa" w:w="3408"/>
            <w:vAlign w:val="top"/>
          </w:tcPr>
          <w:p>
            <w:r>
              <w:t>3. Independent validation</w:t>
            </w:r>
          </w:p>
        </w:tc>
        <w:tc>
          <w:tcPr>
            <w:tcW w:type="dxa" w:w="3408"/>
            <w:vAlign w:val="top"/>
          </w:tcPr>
          <w:p>
            <w:r>
              <w:t>University, research organisation or suitable independent technical partner where appropriate</w:t>
            </w:r>
          </w:p>
        </w:tc>
        <w:tc>
          <w:tcPr>
            <w:tcW w:type="dxa" w:w="3408"/>
            <w:vAlign w:val="top"/>
          </w:tcPr>
          <w:p>
            <w:r>
              <w:t>Increase credibility of specific measurable claims.</w:t>
            </w:r>
          </w:p>
        </w:tc>
      </w:tr>
      <w:tr>
        <w:tc>
          <w:tcPr>
            <w:tcW w:type="dxa" w:w="3408"/>
            <w:vAlign w:val="top"/>
          </w:tcPr>
          <w:p>
            <w:r>
              <w:t>4. Regulatory/compliance review</w:t>
            </w:r>
          </w:p>
        </w:tc>
        <w:tc>
          <w:tcPr>
            <w:tcW w:type="dxa" w:w="3408"/>
            <w:vAlign w:val="top"/>
          </w:tcPr>
          <w:p>
            <w:r>
              <w:t>Applicable licences, registrations, standards and approvals</w:t>
            </w:r>
          </w:p>
        </w:tc>
        <w:tc>
          <w:tcPr>
            <w:tcW w:type="dxa" w:w="3408"/>
            <w:vAlign w:val="top"/>
          </w:tcPr>
          <w:p>
            <w:r>
              <w:t>Confirm deployment-specific obligations.</w:t>
            </w:r>
          </w:p>
        </w:tc>
      </w:tr>
      <w:tr>
        <w:tc>
          <w:tcPr>
            <w:tcW w:type="dxa" w:w="3408"/>
            <w:vAlign w:val="top"/>
          </w:tcPr>
          <w:p>
            <w:r>
              <w:t>5. Commercial evidence</w:t>
            </w:r>
          </w:p>
        </w:tc>
        <w:tc>
          <w:tcPr>
            <w:tcW w:type="dxa" w:w="3408"/>
            <w:vAlign w:val="top"/>
          </w:tcPr>
          <w:p>
            <w:r>
              <w:t>Repeated deployments and measured economic outcomes</w:t>
            </w:r>
          </w:p>
        </w:tc>
        <w:tc>
          <w:tcPr>
            <w:tcW w:type="dxa" w:w="3408"/>
            <w:vAlign w:val="top"/>
          </w:tcPr>
          <w:p>
            <w:r>
              <w:t>Establish scalable ROI and commercial case.</w:t>
            </w:r>
          </w:p>
        </w:tc>
      </w:tr>
    </w:tbl>
    <w:p>
      <w:pPr>
        <w:pStyle w:val="Heading1"/>
      </w:pPr>
      <w:r>
        <w:t>7. What We Can Provide as Initial Assurance</w:t>
      </w:r>
    </w:p>
    <w:p>
      <w:pPr>
        <w:pStyle w:val="ListBullet"/>
      </w:pPr>
      <w:r>
        <w:t>Documented QAI architecture and logical-to-physical mapping.</w:t>
      </w:r>
    </w:p>
    <w:p>
      <w:pPr>
        <w:pStyle w:val="ListBullet"/>
      </w:pPr>
      <w:r>
        <w:t>Existing QAI pipeline and control-plane development baseline.</w:t>
      </w:r>
    </w:p>
    <w:p>
      <w:pPr>
        <w:pStyle w:val="ListBullet"/>
      </w:pPr>
      <w:r>
        <w:t>Open-loop and closed-loop QAI evaluation methodology.</w:t>
      </w:r>
    </w:p>
    <w:p>
      <w:pPr>
        <w:pStyle w:val="ListBullet"/>
      </w:pPr>
      <w:r>
        <w:t>Defined technical benchmark framework covering latency, quality, error/resource reduction and data fusion.</w:t>
      </w:r>
    </w:p>
    <w:p>
      <w:pPr>
        <w:pStyle w:val="ListBullet"/>
      </w:pPr>
      <w:r>
        <w:t>Controlled pilot test records and configuration-controlled deployment artifacts.</w:t>
      </w:r>
    </w:p>
    <w:p>
      <w:pPr>
        <w:pStyle w:val="ListBullet"/>
      </w:pPr>
      <w:r>
        <w:t>Supplier/product references and RFI process rather than unverified fixed product commitments.</w:t>
      </w:r>
    </w:p>
    <w:p>
      <w:pPr>
        <w:pStyle w:val="ListBullet"/>
      </w:pPr>
      <w:r>
        <w:t>Clear separation between internally generated results, third-party evidence and future independent validation.</w:t>
      </w:r>
    </w:p>
    <w:p>
      <w:pPr>
        <w:pStyle w:val="ListBullet"/>
      </w:pPr>
      <w:r>
        <w:t>Partner technology ecosystem can be evaluated where appropriate, without making the QAI architecture dependent on a single provider.</w:t>
      </w:r>
    </w:p>
    <w:p>
      <w:pPr>
        <w:pStyle w:val="Heading1"/>
      </w:pPr>
      <w:r>
        <w:t>8. Partners, Ecosystem and Professional Assurance</w:t>
      </w:r>
    </w:p>
    <w:p>
      <w:r>
        <w:rPr>
          <w:b w:val="0"/>
        </w:rPr>
        <w:t>The proposed pilot may use technologies and infrastructure from ecosystem partners and technology providers where appropriate. Any partner relationship, tie-up, endorsement or formal collaboration will be described only to the extent that it is actually established and documented.</w:t>
      </w:r>
    </w:p>
    <w:p>
      <w:r>
        <w:rPr>
          <w:b w:val="0"/>
        </w:rPr>
        <w:t>Where the proposer or project team holds relevant professional registrations, engineering credentials or memberships, these should be stated precisely in the final submission with the applicable registration/body and evidence. References to Engineers Australia, government agencies, research organisations or other bodies should not be interpreted as product approval, endorsement or certification unless a specific written approval or agreement exists.</w:t>
      </w:r>
    </w:p>
    <w:p>
      <w:r>
        <w:rPr>
          <w:b w:val="0"/>
        </w:rPr>
        <w:t>For the customer, the preferred assurance model is therefore: internal QAI evidence first, controlled farm validation second, and independent/research/regulatory validation where the particular claim or deployment requires it.</w:t>
      </w:r>
    </w:p>
    <w:p>
      <w:pPr>
        <w:pStyle w:val="Heading1"/>
      </w:pPr>
      <w:r>
        <w:t>9. Independent Validation Pathway</w:t>
      </w:r>
    </w:p>
    <w:p>
      <w:r>
        <w:rPr>
          <w:b w:val="0"/>
        </w:rPr>
        <w:t>For claims that materially affect investment decisions, we recommend selecting a university, agricultural research organisation, accredited laboratory or other appropriate independent technical body to reproduce or review a narrowly defined result.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Claim type</w:t>
            </w:r>
          </w:p>
        </w:tc>
        <w:tc>
          <w:tcPr>
            <w:tcW w:type="dxa" w:w="5112"/>
            <w:vAlign w:val="center"/>
          </w:tcPr>
          <w:p>
            <w:r>
              <w:rPr>
                <w:b/>
              </w:rPr>
              <w:t>Recommended evidence</w:t>
            </w:r>
          </w:p>
        </w:tc>
      </w:tr>
      <w:tr>
        <w:tc>
          <w:tcPr>
            <w:tcW w:type="dxa" w:w="5112"/>
            <w:vAlign w:val="top"/>
          </w:tcPr>
          <w:p>
            <w:r>
              <w:t>Sensor/measurement accuracy</w:t>
            </w:r>
          </w:p>
        </w:tc>
        <w:tc>
          <w:tcPr>
            <w:tcW w:type="dxa" w:w="5112"/>
            <w:vAlign w:val="top"/>
          </w:tcPr>
          <w:p>
            <w:r>
              <w:t>Relevant device specification plus independent field comparison if material.</w:t>
            </w:r>
          </w:p>
        </w:tc>
      </w:tr>
      <w:tr>
        <w:tc>
          <w:tcPr>
            <w:tcW w:type="dxa" w:w="5112"/>
            <w:vAlign w:val="top"/>
          </w:tcPr>
          <w:p>
            <w:r>
              <w:t>AI/ML inference</w:t>
            </w:r>
          </w:p>
        </w:tc>
        <w:tc>
          <w:tcPr>
            <w:tcW w:type="dxa" w:w="5112"/>
            <w:vAlign w:val="top"/>
          </w:tcPr>
          <w:p>
            <w:r>
              <w:t>Defined dataset, ground truth, accuracy/precision/recall and repeatability.</w:t>
            </w:r>
          </w:p>
        </w:tc>
      </w:tr>
      <w:tr>
        <w:tc>
          <w:tcPr>
            <w:tcW w:type="dxa" w:w="5112"/>
            <w:vAlign w:val="top"/>
          </w:tcPr>
          <w:p>
            <w:r>
              <w:t>QAI algorithm merit</w:t>
            </w:r>
          </w:p>
        </w:tc>
        <w:tc>
          <w:tcPr>
            <w:tcW w:type="dxa" w:w="5112"/>
            <w:vAlign w:val="top"/>
          </w:tcPr>
          <w:p>
            <w:r>
              <w:t>Predefined benchmark, baseline, statistical methodology and reproducible execution.</w:t>
            </w:r>
          </w:p>
        </w:tc>
      </w:tr>
      <w:tr>
        <w:tc>
          <w:tcPr>
            <w:tcW w:type="dxa" w:w="5112"/>
            <w:vAlign w:val="top"/>
          </w:tcPr>
          <w:p>
            <w:r>
              <w:t>Water/resource benefit</w:t>
            </w:r>
          </w:p>
        </w:tc>
        <w:tc>
          <w:tcPr>
            <w:tcW w:type="dxa" w:w="5112"/>
            <w:vAlign w:val="top"/>
          </w:tcPr>
          <w:p>
            <w:r>
              <w:t>Before/after controlled measurement with farm-specific baseline.</w:t>
            </w:r>
          </w:p>
        </w:tc>
      </w:tr>
      <w:tr>
        <w:tc>
          <w:tcPr>
            <w:tcW w:type="dxa" w:w="5112"/>
            <w:vAlign w:val="top"/>
          </w:tcPr>
          <w:p>
            <w:r>
              <w:t>Quantum advantage</w:t>
            </w:r>
          </w:p>
        </w:tc>
        <w:tc>
          <w:tcPr>
            <w:tcW w:type="dxa" w:w="5112"/>
            <w:vAlign w:val="top"/>
          </w:tcPr>
          <w:p>
            <w:r>
              <w:t>Explicit workload, baseline, resource assumptions and reproducible comparison; do not claim generic advantage.</w:t>
            </w:r>
          </w:p>
        </w:tc>
      </w:tr>
      <w:tr>
        <w:tc>
          <w:tcPr>
            <w:tcW w:type="dxa" w:w="5112"/>
            <w:vAlign w:val="top"/>
          </w:tcPr>
          <w:p>
            <w:r>
              <w:t>Safety/regulatory</w:t>
            </w:r>
          </w:p>
        </w:tc>
        <w:tc>
          <w:tcPr>
            <w:tcW w:type="dxa" w:w="5112"/>
            <w:vAlign w:val="top"/>
          </w:tcPr>
          <w:p>
            <w:r>
              <w:t>Applicable authority, licence, standard or professional sign-off as required.</w:t>
            </w:r>
          </w:p>
        </w:tc>
      </w:tr>
    </w:tbl>
    <w:p>
      <w:pPr>
        <w:pStyle w:val="Heading1"/>
      </w:pPr>
      <w:r>
        <w:t>10. Regulatory and Approval Approach</w:t>
      </w:r>
    </w:p>
    <w:p>
      <w:r>
        <w:rPr>
          <w:b w:val="0"/>
        </w:rPr>
        <w:t>The pilot will include a deployment-specific regulatory checklist. Requirements can differ according to sensors, electrical installations, communications equipment, autonomous machinery, drones, data handling, environmental monitoring and the physical site.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Area</w:t>
            </w:r>
          </w:p>
        </w:tc>
        <w:tc>
          <w:tcPr>
            <w:tcW w:type="dxa" w:w="5112"/>
            <w:vAlign w:val="center"/>
          </w:tcPr>
          <w:p>
            <w:r>
              <w:rPr>
                <w:b/>
              </w:rPr>
              <w:t>Initial assessment</w:t>
            </w:r>
          </w:p>
        </w:tc>
      </w:tr>
      <w:tr>
        <w:tc>
          <w:tcPr>
            <w:tcW w:type="dxa" w:w="5112"/>
            <w:vAlign w:val="top"/>
          </w:tcPr>
          <w:p>
            <w:r>
              <w:t>Electrical/power</w:t>
            </w:r>
          </w:p>
        </w:tc>
        <w:tc>
          <w:tcPr>
            <w:tcW w:type="dxa" w:w="5112"/>
            <w:vAlign w:val="top"/>
          </w:tcPr>
          <w:p>
            <w:r>
              <w:t>Qualified installation where required; site safety assessment.</w:t>
            </w:r>
          </w:p>
        </w:tc>
      </w:tr>
      <w:tr>
        <w:tc>
          <w:tcPr>
            <w:tcW w:type="dxa" w:w="5112"/>
            <w:vAlign w:val="top"/>
          </w:tcPr>
          <w:p>
            <w:r>
              <w:t>Wireless/communications</w:t>
            </w:r>
          </w:p>
        </w:tc>
        <w:tc>
          <w:tcPr>
            <w:tcW w:type="dxa" w:w="5112"/>
            <w:vAlign w:val="top"/>
          </w:tcPr>
          <w:p>
            <w:r>
              <w:t>Confirm device/network regulatory and carrier requirements.</w:t>
            </w:r>
          </w:p>
        </w:tc>
      </w:tr>
      <w:tr>
        <w:tc>
          <w:tcPr>
            <w:tcW w:type="dxa" w:w="5112"/>
            <w:vAlign w:val="top"/>
          </w:tcPr>
          <w:p>
            <w:r>
              <w:t>Drones</w:t>
            </w:r>
          </w:p>
        </w:tc>
        <w:tc>
          <w:tcPr>
            <w:tcW w:type="dxa" w:w="5112"/>
            <w:vAlign w:val="top"/>
          </w:tcPr>
          <w:p>
            <w:r>
              <w:t>Assess aircraft category, registration, operator accreditation/licensing and operating approvals as applicable.</w:t>
            </w:r>
          </w:p>
        </w:tc>
      </w:tr>
      <w:tr>
        <w:tc>
          <w:tcPr>
            <w:tcW w:type="dxa" w:w="5112"/>
            <w:vAlign w:val="top"/>
          </w:tcPr>
          <w:p>
            <w:r>
              <w:t>Data/privacy</w:t>
            </w:r>
          </w:p>
        </w:tc>
        <w:tc>
          <w:tcPr>
            <w:tcW w:type="dxa" w:w="5112"/>
            <w:vAlign w:val="top"/>
          </w:tcPr>
          <w:p>
            <w:r>
              <w:t>Define data ownership, access, retention, security and any applicable privacy obligations.</w:t>
            </w:r>
          </w:p>
        </w:tc>
      </w:tr>
      <w:tr>
        <w:tc>
          <w:tcPr>
            <w:tcW w:type="dxa" w:w="5112"/>
            <w:vAlign w:val="top"/>
          </w:tcPr>
          <w:p>
            <w:r>
              <w:t>Farm/environment</w:t>
            </w:r>
          </w:p>
        </w:tc>
        <w:tc>
          <w:tcPr>
            <w:tcW w:type="dxa" w:w="5112"/>
            <w:vAlign w:val="top"/>
          </w:tcPr>
          <w:p>
            <w:r>
              <w:t>Assess site-specific environmental, water and operational requirements.</w:t>
            </w:r>
          </w:p>
        </w:tc>
      </w:tr>
      <w:tr>
        <w:tc>
          <w:tcPr>
            <w:tcW w:type="dxa" w:w="5112"/>
            <w:vAlign w:val="top"/>
          </w:tcPr>
          <w:p>
            <w:r>
              <w:t>Professional engineering</w:t>
            </w:r>
          </w:p>
        </w:tc>
        <w:tc>
          <w:tcPr>
            <w:tcW w:type="dxa" w:w="5112"/>
            <w:vAlign w:val="top"/>
          </w:tcPr>
          <w:p>
            <w:r>
              <w:t>Use appropriately qualified/registered professionals for work requiring professional engineering judgement or sign-off.</w:t>
            </w:r>
          </w:p>
        </w:tc>
      </w:tr>
    </w:tbl>
    <w:p>
      <w:r>
        <w:rPr>
          <w:b w:val="0"/>
        </w:rPr>
        <w:t>The proposal does not assume that every pilot requires every approval. Applicability will be determined during site discovery.</w:t>
      </w:r>
    </w:p>
    <w:p>
      <w:pPr>
        <w:pStyle w:val="Heading1"/>
      </w:pPr>
      <w:r>
        <w:t>11. Measurement and Benchmark Plan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Metric</w:t>
            </w:r>
          </w:p>
        </w:tc>
        <w:tc>
          <w:tcPr>
            <w:tcW w:type="dxa" w:w="5112"/>
            <w:vAlign w:val="center"/>
          </w:tcPr>
          <w:p>
            <w:r>
              <w:rPr>
                <w:b/>
              </w:rPr>
              <w:t>Pilot question</w:t>
            </w:r>
          </w:p>
        </w:tc>
      </w:tr>
      <w:tr>
        <w:tc>
          <w:tcPr>
            <w:tcW w:type="dxa" w:w="5112"/>
            <w:vAlign w:val="top"/>
          </w:tcPr>
          <w:p>
            <w:r>
              <w:t>Edge latency</w:t>
            </w:r>
          </w:p>
        </w:tc>
        <w:tc>
          <w:tcPr>
            <w:tcW w:type="dxa" w:w="5112"/>
            <w:vAlign w:val="top"/>
          </w:tcPr>
          <w:p>
            <w:r>
              <w:t>Can local decisions be made within the required operational time?</w:t>
            </w:r>
          </w:p>
        </w:tc>
      </w:tr>
      <w:tr>
        <w:tc>
          <w:tcPr>
            <w:tcW w:type="dxa" w:w="5112"/>
            <w:vAlign w:val="top"/>
          </w:tcPr>
          <w:p>
            <w:r>
              <w:t>Data reduction ratio</w:t>
            </w:r>
          </w:p>
        </w:tc>
        <w:tc>
          <w:tcPr>
            <w:tcW w:type="dxa" w:w="5112"/>
            <w:vAlign w:val="top"/>
          </w:tcPr>
          <w:p>
            <w:r>
              <w:t>How much data can be fused/filtered before cloud transmission?</w:t>
            </w:r>
          </w:p>
        </w:tc>
      </w:tr>
      <w:tr>
        <w:tc>
          <w:tcPr>
            <w:tcW w:type="dxa" w:w="5112"/>
            <w:vAlign w:val="top"/>
          </w:tcPr>
          <w:p>
            <w:r>
              <w:t>Inference quality</w:t>
            </w:r>
          </w:p>
        </w:tc>
        <w:tc>
          <w:tcPr>
            <w:tcW w:type="dxa" w:w="5112"/>
            <w:vAlign w:val="top"/>
          </w:tcPr>
          <w:p>
            <w:r>
              <w:t>Does the selected model provide sufficient accuracy?</w:t>
            </w:r>
          </w:p>
        </w:tc>
      </w:tr>
      <w:tr>
        <w:tc>
          <w:tcPr>
            <w:tcW w:type="dxa" w:w="5112"/>
            <w:vAlign w:val="top"/>
          </w:tcPr>
          <w:p>
            <w:r>
              <w:t>Edge autonomy</w:t>
            </w:r>
          </w:p>
        </w:tc>
        <w:tc>
          <w:tcPr>
            <w:tcW w:type="dxa" w:w="5112"/>
            <w:vAlign w:val="top"/>
          </w:tcPr>
          <w:p>
            <w:r>
              <w:t>Can the site continue operating during WAN/cloud interruption?</w:t>
            </w:r>
          </w:p>
        </w:tc>
      </w:tr>
      <w:tr>
        <w:tc>
          <w:tcPr>
            <w:tcW w:type="dxa" w:w="5112"/>
            <w:vAlign w:val="top"/>
          </w:tcPr>
          <w:p>
            <w:r>
              <w:t>Network utilization</w:t>
            </w:r>
          </w:p>
        </w:tc>
        <w:tc>
          <w:tcPr>
            <w:tcW w:type="dxa" w:w="5112"/>
            <w:vAlign w:val="top"/>
          </w:tcPr>
          <w:p>
            <w:r>
              <w:t>How much communication is avoided or optimized?</w:t>
            </w:r>
          </w:p>
        </w:tc>
      </w:tr>
      <w:tr>
        <w:tc>
          <w:tcPr>
            <w:tcW w:type="dxa" w:w="5112"/>
            <w:vAlign w:val="top"/>
          </w:tcPr>
          <w:p>
            <w:r>
              <w:t>Energy per useful decision</w:t>
            </w:r>
          </w:p>
        </w:tc>
        <w:tc>
          <w:tcPr>
            <w:tcW w:type="dxa" w:w="5112"/>
            <w:vAlign w:val="top"/>
          </w:tcPr>
          <w:p>
            <w:r>
              <w:t>Can the workload meet field energy constraints?</w:t>
            </w:r>
          </w:p>
        </w:tc>
      </w:tr>
      <w:tr>
        <w:tc>
          <w:tcPr>
            <w:tcW w:type="dxa" w:w="5112"/>
            <w:vAlign w:val="top"/>
          </w:tcPr>
          <w:p>
            <w:r>
              <w:t>Error Reduction Ratio</w:t>
            </w:r>
          </w:p>
        </w:tc>
        <w:tc>
          <w:tcPr>
            <w:tcW w:type="dxa" w:w="5112"/>
            <w:vAlign w:val="top"/>
          </w:tcPr>
          <w:p>
            <w:r>
              <w:t>Does QAI control improve observed error/quality metrics?</w:t>
            </w:r>
          </w:p>
        </w:tc>
      </w:tr>
      <w:tr>
        <w:tc>
          <w:tcPr>
            <w:tcW w:type="dxa" w:w="5112"/>
            <w:vAlign w:val="top"/>
          </w:tcPr>
          <w:p>
            <w:r>
              <w:t>Quantum Resource Reduction Ratio</w:t>
            </w:r>
          </w:p>
        </w:tc>
        <w:tc>
          <w:tcPr>
            <w:tcW w:type="dxa" w:w="5112"/>
            <w:vAlign w:val="top"/>
          </w:tcPr>
          <w:p>
            <w:r>
              <w:t>Can classical/QAI preprocessing reduce required quantum resources?</w:t>
            </w:r>
          </w:p>
        </w:tc>
      </w:tr>
      <w:tr>
        <w:tc>
          <w:tcPr>
            <w:tcW w:type="dxa" w:w="5112"/>
            <w:vAlign w:val="top"/>
          </w:tcPr>
          <w:p>
            <w:r>
              <w:t>Closed-loop gain</w:t>
            </w:r>
          </w:p>
        </w:tc>
        <w:tc>
          <w:tcPr>
            <w:tcW w:type="dxa" w:w="5112"/>
            <w:vAlign w:val="top"/>
          </w:tcPr>
          <w:p>
            <w:r>
              <w:t>Does adaptive feedback improve the defined objective over the baseline?</w:t>
            </w:r>
          </w:p>
        </w:tc>
      </w:tr>
      <w:tr>
        <w:tc>
          <w:tcPr>
            <w:tcW w:type="dxa" w:w="5112"/>
            <w:vAlign w:val="top"/>
          </w:tcPr>
          <w:p>
            <w:r>
              <w:t>Cost per useful result</w:t>
            </w:r>
          </w:p>
        </w:tc>
        <w:tc>
          <w:tcPr>
            <w:tcW w:type="dxa" w:w="5112"/>
            <w:vAlign w:val="top"/>
          </w:tcPr>
          <w:p>
            <w:r>
              <w:t>What is the end-to-end operational cost of the demonstrated workload?</w:t>
            </w:r>
          </w:p>
        </w:tc>
      </w:tr>
    </w:tbl>
    <w:p>
      <w:pPr>
        <w:pStyle w:val="Heading1"/>
      </w:pPr>
      <w:r>
        <w:t>12. Commercial Approach</w:t>
      </w:r>
    </w:p>
    <w:p>
      <w:r>
        <w:rPr>
          <w:b w:val="0"/>
        </w:rPr>
        <w:t>The current planning estimate is intentionally a pilot/site estimate rather than a per-acre or per-hectare price. Farm size, sensing density, connectivity, power, irrigation, drones, machinery integration and workload requirements can materially change the investment.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Item</w:t>
            </w:r>
          </w:p>
        </w:tc>
        <w:tc>
          <w:tcPr>
            <w:tcW w:type="dxa" w:w="5112"/>
            <w:vAlign w:val="center"/>
          </w:tcPr>
          <w:p>
            <w:r>
              <w:rPr>
                <w:b/>
              </w:rPr>
              <w:t>Indicative planning treatment</w:t>
            </w:r>
          </w:p>
        </w:tc>
      </w:tr>
      <w:tr>
        <w:tc>
          <w:tcPr>
            <w:tcW w:type="dxa" w:w="5112"/>
            <w:vAlign w:val="top"/>
          </w:tcPr>
          <w:p>
            <w:r>
              <w:t>Pilot/site investment</w:t>
            </w:r>
          </w:p>
        </w:tc>
        <w:tc>
          <w:tcPr>
            <w:tcW w:type="dxa" w:w="5112"/>
            <w:vAlign w:val="top"/>
          </w:tcPr>
          <w:p>
            <w:r>
              <w:t>A$31,221 – A$72,096 planning range from current inventory/cost model, including planning contingency.</w:t>
            </w:r>
          </w:p>
        </w:tc>
      </w:tr>
      <w:tr>
        <w:tc>
          <w:tcPr>
            <w:tcW w:type="dxa" w:w="5112"/>
            <w:vAlign w:val="top"/>
          </w:tcPr>
          <w:p>
            <w:r>
              <w:t>Azure</w:t>
            </w:r>
          </w:p>
        </w:tc>
        <w:tc>
          <w:tcPr>
            <w:tcW w:type="dxa" w:w="5112"/>
            <w:vAlign w:val="top"/>
          </w:tcPr>
          <w:p>
            <w:r>
              <w:t>Monthly usage-based allowance; final value determined from selected Azure resources, region, usage and customer agreement.</w:t>
            </w:r>
          </w:p>
        </w:tc>
      </w:tr>
      <w:tr>
        <w:tc>
          <w:tcPr>
            <w:tcW w:type="dxa" w:w="5112"/>
            <w:vAlign w:val="top"/>
          </w:tcPr>
          <w:p>
            <w:r>
              <w:t>Hardware</w:t>
            </w:r>
          </w:p>
        </w:tc>
        <w:tc>
          <w:tcPr>
            <w:tcW w:type="dxa" w:w="5112"/>
            <w:vAlign w:val="top"/>
          </w:tcPr>
          <w:p>
            <w:r>
              <w:t>RRP/RFI planning figures; final procurement after site survey and supplier quotations.</w:t>
            </w:r>
          </w:p>
        </w:tc>
      </w:tr>
      <w:tr>
        <w:tc>
          <w:tcPr>
            <w:tcW w:type="dxa" w:w="5112"/>
            <w:vAlign w:val="top"/>
          </w:tcPr>
          <w:p>
            <w:r>
              <w:t>Initial engineering</w:t>
            </w:r>
          </w:p>
        </w:tc>
        <w:tc>
          <w:tcPr>
            <w:tcW w:type="dxa" w:w="5112"/>
            <w:vAlign w:val="top"/>
          </w:tcPr>
          <w:p>
            <w:r>
              <w:t>Fixed-price where scope is clear.</w:t>
            </w:r>
          </w:p>
        </w:tc>
      </w:tr>
      <w:tr>
        <w:tc>
          <w:tcPr>
            <w:tcW w:type="dxa" w:w="5112"/>
            <w:vAlign w:val="top"/>
          </w:tcPr>
          <w:p>
            <w:r>
              <w:t>Onsite work</w:t>
            </w:r>
          </w:p>
        </w:tc>
        <w:tc>
          <w:tcPr>
            <w:tcW w:type="dxa" w:w="5112"/>
            <w:vAlign w:val="top"/>
          </w:tcPr>
          <w:p>
            <w:r>
              <w:t>Capped time-and-materials where field conditions are unknown.</w:t>
            </w:r>
          </w:p>
        </w:tc>
      </w:tr>
      <w:tr>
        <w:tc>
          <w:tcPr>
            <w:tcW w:type="dxa" w:w="5112"/>
            <w:vAlign w:val="top"/>
          </w:tcPr>
          <w:p>
            <w:r>
              <w:t>Remote operations</w:t>
            </w:r>
          </w:p>
        </w:tc>
        <w:tc>
          <w:tcPr>
            <w:tcW w:type="dxa" w:w="5112"/>
            <w:vAlign w:val="top"/>
          </w:tcPr>
          <w:p>
            <w:r>
              <w:t>Hourly or monthly support model.</w:t>
            </w:r>
          </w:p>
        </w:tc>
      </w:tr>
      <w:tr>
        <w:tc>
          <w:tcPr>
            <w:tcW w:type="dxa" w:w="5112"/>
            <w:vAlign w:val="top"/>
          </w:tcPr>
          <w:p>
            <w:r>
              <w:t>Quantum</w:t>
            </w:r>
          </w:p>
        </w:tc>
        <w:tc>
          <w:tcPr>
            <w:tcW w:type="dxa" w:w="5112"/>
            <w:vAlign w:val="top"/>
          </w:tcPr>
          <w:p>
            <w:r>
              <w:t>Optional/variable and separated from the core farm pilot until workload evidence justifies it.</w:t>
            </w:r>
          </w:p>
        </w:tc>
      </w:tr>
      <w:tr>
        <w:tc>
          <w:tcPr>
            <w:tcW w:type="dxa" w:w="5112"/>
            <w:vAlign w:val="top"/>
          </w:tcPr>
          <w:p>
            <w:r>
              <w:t>Maintenance</w:t>
            </w:r>
          </w:p>
        </w:tc>
        <w:tc>
          <w:tcPr>
            <w:tcW w:type="dxa" w:w="5112"/>
            <w:vAlign w:val="top"/>
          </w:tcPr>
          <w:p>
            <w:r>
              <w:t>Monthly/annual managed service after pilot, based on actual deployed assets.</w:t>
            </w:r>
          </w:p>
        </w:tc>
      </w:tr>
    </w:tbl>
    <w:p>
      <w:r>
        <w:rPr>
          <w:b w:val="0"/>
        </w:rPr>
        <w:t>The indicative pilot range should not be interpreted as a fixed cost per acre/hectare. A future commercial scaling model can derive empirical A$/ha, A$/acre, A$/sensor-zone and annual operating cost metrics after sufficient real deployments.</w:t>
      </w:r>
    </w:p>
    <w:p>
      <w:pPr>
        <w:pStyle w:val="Heading1"/>
      </w:pPr>
      <w:r>
        <w:t>13. Commercial Risk Controls</w:t>
      </w:r>
    </w:p>
    <w:p>
      <w:pPr>
        <w:pStyle w:val="ListBullet"/>
      </w:pPr>
      <w:r>
        <w:t>Begin with a defined feasibility pilot rather than a full-farm commitment.</w:t>
      </w:r>
    </w:p>
    <w:p>
      <w:pPr>
        <w:pStyle w:val="ListBullet"/>
      </w:pPr>
      <w:r>
        <w:t>Use a fixed scope for architecture, integration and benchmark deliverables.</w:t>
      </w:r>
    </w:p>
    <w:p>
      <w:pPr>
        <w:pStyle w:val="ListBullet"/>
      </w:pPr>
      <w:r>
        <w:t>Use capped onsite hours for unknown site conditions.</w:t>
      </w:r>
    </w:p>
    <w:p>
      <w:pPr>
        <w:pStyle w:val="ListBullet"/>
      </w:pPr>
      <w:r>
        <w:t>Separate hardware procurement, Azure consumption and optional quantum costs.</w:t>
      </w:r>
    </w:p>
    <w:p>
      <w:pPr>
        <w:pStyle w:val="ListBullet"/>
      </w:pPr>
      <w:r>
        <w:t>Define acceptance criteria before execution.</w:t>
      </w:r>
    </w:p>
    <w:p>
      <w:pPr>
        <w:pStyle w:val="ListBullet"/>
      </w:pPr>
      <w:r>
        <w:t>Provide a final pilot report showing achieved, partially achieved and not achieved objectives.</w:t>
      </w:r>
    </w:p>
    <w:p>
      <w:pPr>
        <w:pStyle w:val="ListBullet"/>
      </w:pPr>
      <w:r>
        <w:t>Do not promise ROI before farm-specific baseline and benefit measurements are available.</w:t>
      </w:r>
    </w:p>
    <w:p>
      <w:pPr>
        <w:pStyle w:val="ListBullet"/>
      </w:pPr>
      <w:r>
        <w:t>Allow the customer to stop after the feasibility stage without committing to full-scale deployment.</w:t>
      </w:r>
    </w:p>
    <w:p>
      <w:pPr>
        <w:pStyle w:val="Heading1"/>
      </w:pPr>
      <w:r>
        <w:t>14. Acceptance Criteria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Area</w:t>
            </w:r>
          </w:p>
        </w:tc>
        <w:tc>
          <w:tcPr>
            <w:tcW w:type="dxa" w:w="5112"/>
            <w:vAlign w:val="center"/>
          </w:tcPr>
          <w:p>
            <w:r>
              <w:rPr>
                <w:b/>
              </w:rPr>
              <w:t>Indicative acceptance</w:t>
            </w:r>
          </w:p>
        </w:tc>
      </w:tr>
      <w:tr>
        <w:tc>
          <w:tcPr>
            <w:tcW w:type="dxa" w:w="5112"/>
            <w:vAlign w:val="top"/>
          </w:tcPr>
          <w:p>
            <w:r>
              <w:t>Connectivity</w:t>
            </w:r>
          </w:p>
        </w:tc>
        <w:tc>
          <w:tcPr>
            <w:tcW w:type="dxa" w:w="5112"/>
            <w:vAlign w:val="top"/>
          </w:tcPr>
          <w:p>
            <w:r>
              <w:t>Defined sensor→edge→Azure path operates and outage behavior is recorded.</w:t>
            </w:r>
          </w:p>
        </w:tc>
      </w:tr>
      <w:tr>
        <w:tc>
          <w:tcPr>
            <w:tcW w:type="dxa" w:w="5112"/>
            <w:vAlign w:val="top"/>
          </w:tcPr>
          <w:p>
            <w:r>
              <w:t>Edge</w:t>
            </w:r>
          </w:p>
        </w:tc>
        <w:tc>
          <w:tcPr>
            <w:tcW w:type="dxa" w:w="5112"/>
            <w:vAlign w:val="top"/>
          </w:tcPr>
          <w:p>
            <w:r>
              <w:t>Local data processing and required inference/fusion operate.</w:t>
            </w:r>
          </w:p>
        </w:tc>
      </w:tr>
      <w:tr>
        <w:tc>
          <w:tcPr>
            <w:tcW w:type="dxa" w:w="5112"/>
            <w:vAlign w:val="top"/>
          </w:tcPr>
          <w:p>
            <w:r>
              <w:t>QAI Control Plane</w:t>
            </w:r>
          </w:p>
        </w:tc>
        <w:tc>
          <w:tcPr>
            <w:tcW w:type="dxa" w:w="5112"/>
            <w:vAlign w:val="top"/>
          </w:tcPr>
          <w:p>
            <w:r>
              <w:t>Execution request produces policy/decision response.</w:t>
            </w:r>
          </w:p>
        </w:tc>
      </w:tr>
      <w:tr>
        <w:tc>
          <w:tcPr>
            <w:tcW w:type="dxa" w:w="5112"/>
            <w:vAlign w:val="top"/>
          </w:tcPr>
          <w:p>
            <w:r>
              <w:t>QAI Pipeline</w:t>
            </w:r>
          </w:p>
        </w:tc>
        <w:tc>
          <w:tcPr>
            <w:tcW w:type="dxa" w:w="5112"/>
            <w:vAlign w:val="top"/>
          </w:tcPr>
          <w:p>
            <w:r>
              <w:t>Classical/quantum/hybrid modes are represented and tested.</w:t>
            </w:r>
          </w:p>
        </w:tc>
      </w:tr>
      <w:tr>
        <w:tc>
          <w:tcPr>
            <w:tcW w:type="dxa" w:w="5112"/>
            <w:vAlign w:val="top"/>
          </w:tcPr>
          <w:p>
            <w:r>
              <w:t>Runtime</w:t>
            </w:r>
          </w:p>
        </w:tc>
        <w:tc>
          <w:tcPr>
            <w:tcW w:type="dxa" w:w="5112"/>
            <w:vAlign w:val="top"/>
          </w:tcPr>
          <w:p>
            <w:r>
              <w:t>Workload execution produces traceable results/metadata.</w:t>
            </w:r>
          </w:p>
        </w:tc>
      </w:tr>
      <w:tr>
        <w:tc>
          <w:tcPr>
            <w:tcW w:type="dxa" w:w="5112"/>
            <w:vAlign w:val="top"/>
          </w:tcPr>
          <w:p>
            <w:r>
              <w:t>Security</w:t>
            </w:r>
          </w:p>
        </w:tc>
        <w:tc>
          <w:tcPr>
            <w:tcW w:type="dxa" w:w="5112"/>
            <w:vAlign w:val="top"/>
          </w:tcPr>
          <w:p>
            <w:r>
              <w:t>Identity, authorization and secret handling are tested.</w:t>
            </w:r>
          </w:p>
        </w:tc>
      </w:tr>
      <w:tr>
        <w:tc>
          <w:tcPr>
            <w:tcW w:type="dxa" w:w="5112"/>
            <w:vAlign w:val="top"/>
          </w:tcPr>
          <w:p>
            <w:r>
              <w:t>Benchmark</w:t>
            </w:r>
          </w:p>
        </w:tc>
        <w:tc>
          <w:tcPr>
            <w:tcW w:type="dxa" w:w="5112"/>
            <w:vAlign w:val="top"/>
          </w:tcPr>
          <w:p>
            <w:r>
              <w:t>Open-loop and closed-loop results are reproducible.</w:t>
            </w:r>
          </w:p>
        </w:tc>
      </w:tr>
      <w:tr>
        <w:tc>
          <w:tcPr>
            <w:tcW w:type="dxa" w:w="5112"/>
            <w:vAlign w:val="top"/>
          </w:tcPr>
          <w:p>
            <w:r>
              <w:t>Quantum</w:t>
            </w:r>
          </w:p>
        </w:tc>
        <w:tc>
          <w:tcPr>
            <w:tcW w:type="dxa" w:w="5112"/>
            <w:vAlign w:val="top"/>
          </w:tcPr>
          <w:p>
            <w:r>
              <w:t>If included, selected workload completes through an isolated quantum adapter.</w:t>
            </w:r>
          </w:p>
        </w:tc>
      </w:tr>
      <w:tr>
        <w:tc>
          <w:tcPr>
            <w:tcW w:type="dxa" w:w="5112"/>
            <w:vAlign w:val="top"/>
          </w:tcPr>
          <w:p>
            <w:r>
              <w:t>Documentation</w:t>
            </w:r>
          </w:p>
        </w:tc>
        <w:tc>
          <w:tcPr>
            <w:tcW w:type="dxa" w:w="5112"/>
            <w:vAlign w:val="top"/>
          </w:tcPr>
          <w:p>
            <w:r>
              <w:t>As-built asset register, logical/physical map, test report and operational runbook delivered.</w:t>
            </w:r>
          </w:p>
        </w:tc>
      </w:tr>
    </w:tbl>
    <w:p>
      <w:pPr>
        <w:pStyle w:val="Heading1"/>
      </w:pPr>
      <w:r>
        <w:t>15. Customer Inputs Required</w:t>
      </w:r>
    </w:p>
    <w:p>
      <w:pPr>
        <w:pStyle w:val="ListBullet"/>
      </w:pPr>
      <w:r>
        <w:t>Farm/site location and access permissions.</w:t>
      </w:r>
    </w:p>
    <w:p>
      <w:pPr>
        <w:pStyle w:val="ListBullet"/>
      </w:pPr>
      <w:r>
        <w:t>Target agricultural problem/workload.</w:t>
      </w:r>
    </w:p>
    <w:p>
      <w:pPr>
        <w:pStyle w:val="ListBullet"/>
      </w:pPr>
      <w:r>
        <w:t>Available sensors, machinery, cameras and existing IT/network assets.</w:t>
      </w:r>
    </w:p>
    <w:p>
      <w:pPr>
        <w:pStyle w:val="ListBullet"/>
      </w:pPr>
      <w:r>
        <w:t>Power availability and solar/battery constraints.</w:t>
      </w:r>
    </w:p>
    <w:p>
      <w:pPr>
        <w:pStyle w:val="ListBullet"/>
      </w:pPr>
      <w:r>
        <w:t>Internet/cellular/WAN availability.</w:t>
      </w:r>
    </w:p>
    <w:p>
      <w:pPr>
        <w:pStyle w:val="ListBullet"/>
      </w:pPr>
      <w:r>
        <w:t>Existing farm management/data systems.</w:t>
      </w:r>
    </w:p>
    <w:p>
      <w:pPr>
        <w:pStyle w:val="ListBullet"/>
      </w:pPr>
      <w:r>
        <w:t>Data ownership/privacy constraints.</w:t>
      </w:r>
    </w:p>
    <w:p>
      <w:pPr>
        <w:pStyle w:val="ListBullet"/>
      </w:pPr>
      <w:r>
        <w:t>Desired operating hours and response-time requirements.</w:t>
      </w:r>
    </w:p>
    <w:p>
      <w:pPr>
        <w:pStyle w:val="ListBullet"/>
      </w:pPr>
      <w:r>
        <w:t>Preferred pilot area and representative field conditions.</w:t>
      </w:r>
    </w:p>
    <w:p>
      <w:pPr>
        <w:pStyle w:val="ListBullet"/>
      </w:pPr>
      <w:r>
        <w:t>Relevant existing approvals, licences or safety requirements.</w:t>
      </w:r>
    </w:p>
    <w:p>
      <w:pPr>
        <w:pStyle w:val="Heading1"/>
      </w:pPr>
      <w:r>
        <w:t>16. Proposed Governance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Role</w:t>
            </w:r>
          </w:p>
        </w:tc>
        <w:tc>
          <w:tcPr>
            <w:tcW w:type="dxa" w:w="5112"/>
            <w:vAlign w:val="center"/>
          </w:tcPr>
          <w:p>
            <w:r>
              <w:rPr>
                <w:b/>
              </w:rPr>
              <w:t>Responsibility</w:t>
            </w:r>
          </w:p>
        </w:tc>
      </w:tr>
      <w:tr>
        <w:tc>
          <w:tcPr>
            <w:tcW w:type="dxa" w:w="5112"/>
            <w:vAlign w:val="top"/>
          </w:tcPr>
          <w:p>
            <w:r>
              <w:t>Customer sponsor</w:t>
            </w:r>
          </w:p>
        </w:tc>
        <w:tc>
          <w:tcPr>
            <w:tcW w:type="dxa" w:w="5112"/>
            <w:vAlign w:val="top"/>
          </w:tcPr>
          <w:p>
            <w:r>
              <w:t>Business objectives, budget and acceptance.</w:t>
            </w:r>
          </w:p>
        </w:tc>
      </w:tr>
      <w:tr>
        <w:tc>
          <w:tcPr>
            <w:tcW w:type="dxa" w:w="5112"/>
            <w:vAlign w:val="top"/>
          </w:tcPr>
          <w:p>
            <w:r>
              <w:t>Farm/site representative</w:t>
            </w:r>
          </w:p>
        </w:tc>
        <w:tc>
          <w:tcPr>
            <w:tcW w:type="dxa" w:w="5112"/>
            <w:vAlign w:val="top"/>
          </w:tcPr>
          <w:p>
            <w:r>
              <w:t>Operational requirements and field access.</w:t>
            </w:r>
          </w:p>
        </w:tc>
      </w:tr>
      <w:tr>
        <w:tc>
          <w:tcPr>
            <w:tcW w:type="dxa" w:w="5112"/>
            <w:vAlign w:val="top"/>
          </w:tcPr>
          <w:p>
            <w:r>
              <w:t>QAI architect</w:t>
            </w:r>
          </w:p>
        </w:tc>
        <w:tc>
          <w:tcPr>
            <w:tcW w:type="dxa" w:w="5112"/>
            <w:vAlign w:val="top"/>
          </w:tcPr>
          <w:p>
            <w:r>
              <w:t>Architecture, workload and integration governance.</w:t>
            </w:r>
          </w:p>
        </w:tc>
      </w:tr>
      <w:tr>
        <w:tc>
          <w:tcPr>
            <w:tcW w:type="dxa" w:w="5112"/>
            <w:vAlign w:val="top"/>
          </w:tcPr>
          <w:p>
            <w:r>
              <w:t>Cloud engineer</w:t>
            </w:r>
          </w:p>
        </w:tc>
        <w:tc>
          <w:tcPr>
            <w:tcW w:type="dxa" w:w="5112"/>
            <w:vAlign w:val="top"/>
          </w:tcPr>
          <w:p>
            <w:r>
              <w:t>Azure resources, security and operations.</w:t>
            </w:r>
          </w:p>
        </w:tc>
      </w:tr>
      <w:tr>
        <w:tc>
          <w:tcPr>
            <w:tcW w:type="dxa" w:w="5112"/>
            <w:vAlign w:val="top"/>
          </w:tcPr>
          <w:p>
            <w:r>
              <w:t>Edge/IoT engineer</w:t>
            </w:r>
          </w:p>
        </w:tc>
        <w:tc>
          <w:tcPr>
            <w:tcW w:type="dxa" w:w="5112"/>
            <w:vAlign w:val="top"/>
          </w:tcPr>
          <w:p>
            <w:r>
              <w:t>Sensors, gateway and edge runtime.</w:t>
            </w:r>
          </w:p>
        </w:tc>
      </w:tr>
      <w:tr>
        <w:tc>
          <w:tcPr>
            <w:tcW w:type="dxa" w:w="5112"/>
            <w:vAlign w:val="top"/>
          </w:tcPr>
          <w:p>
            <w:r>
              <w:t>Network engineer</w:t>
            </w:r>
          </w:p>
        </w:tc>
        <w:tc>
          <w:tcPr>
            <w:tcW w:type="dxa" w:w="5112"/>
            <w:vAlign w:val="top"/>
          </w:tcPr>
          <w:p>
            <w:r>
              <w:t>Connectivity and resilience.</w:t>
            </w:r>
          </w:p>
        </w:tc>
      </w:tr>
      <w:tr>
        <w:tc>
          <w:tcPr>
            <w:tcW w:type="dxa" w:w="5112"/>
            <w:vAlign w:val="top"/>
          </w:tcPr>
          <w:p>
            <w:r>
              <w:t>Test/benchmark engineer</w:t>
            </w:r>
          </w:p>
        </w:tc>
        <w:tc>
          <w:tcPr>
            <w:tcW w:type="dxa" w:w="5112"/>
            <w:vAlign w:val="top"/>
          </w:tcPr>
          <w:p>
            <w:r>
              <w:t>Evidence and acceptance measurements.</w:t>
            </w:r>
          </w:p>
        </w:tc>
      </w:tr>
      <w:tr>
        <w:tc>
          <w:tcPr>
            <w:tcW w:type="dxa" w:w="5112"/>
            <w:vAlign w:val="top"/>
          </w:tcPr>
          <w:p>
            <w:r>
              <w:t>Independent validator (optional)</w:t>
            </w:r>
          </w:p>
        </w:tc>
        <w:tc>
          <w:tcPr>
            <w:tcW w:type="dxa" w:w="5112"/>
            <w:vAlign w:val="top"/>
          </w:tcPr>
          <w:p>
            <w:r>
              <w:t>Review/reproduce defined claims.</w:t>
            </w:r>
          </w:p>
        </w:tc>
      </w:tr>
    </w:tbl>
    <w:p>
      <w:pPr>
        <w:pStyle w:val="Heading1"/>
      </w:pPr>
      <w:r>
        <w:t>17. Deliverables</w:t>
      </w:r>
    </w:p>
    <w:p>
      <w:pPr>
        <w:pStyle w:val="ListBullet"/>
      </w:pPr>
      <w:r>
        <w:t>Confirmed QAI pilot architecture.</w:t>
      </w:r>
    </w:p>
    <w:p>
      <w:pPr>
        <w:pStyle w:val="ListBullet"/>
      </w:pPr>
      <w:r>
        <w:t>Physical asset inventory and procurement/RFI list.</w:t>
      </w:r>
    </w:p>
    <w:p>
      <w:pPr>
        <w:pStyle w:val="ListBullet"/>
      </w:pPr>
      <w:r>
        <w:t>Logical-to-physical mapping.</w:t>
      </w:r>
    </w:p>
    <w:p>
      <w:pPr>
        <w:pStyle w:val="ListBullet"/>
      </w:pPr>
      <w:r>
        <w:t>Azure resource inventory.</w:t>
      </w:r>
    </w:p>
    <w:p>
      <w:pPr>
        <w:pStyle w:val="ListBullet"/>
      </w:pPr>
      <w:r>
        <w:t>Network and security design.</w:t>
      </w:r>
    </w:p>
    <w:p>
      <w:pPr>
        <w:pStyle w:val="ListBullet"/>
      </w:pPr>
      <w:r>
        <w:t>Installed/configured edge environment.</w:t>
      </w:r>
    </w:p>
    <w:p>
      <w:pPr>
        <w:pStyle w:val="ListBullet"/>
      </w:pPr>
      <w:r>
        <w:t>QAI Control Plane, Pipeline and Runtime integration.</w:t>
      </w:r>
    </w:p>
    <w:p>
      <w:pPr>
        <w:pStyle w:val="ListBullet"/>
      </w:pPr>
      <w:r>
        <w:t>Benchmark plan and results.</w:t>
      </w:r>
    </w:p>
    <w:p>
      <w:pPr>
        <w:pStyle w:val="ListBullet"/>
      </w:pPr>
      <w:r>
        <w:t>Open-loop versus closed-loop comparison.</w:t>
      </w:r>
    </w:p>
    <w:p>
      <w:pPr>
        <w:pStyle w:val="ListBullet"/>
      </w:pPr>
      <w:r>
        <w:t>Optional quantum execution report.</w:t>
      </w:r>
    </w:p>
    <w:p>
      <w:pPr>
        <w:pStyle w:val="ListBullet"/>
      </w:pPr>
      <w:r>
        <w:t>Regulatory/approval applicability matrix.</w:t>
      </w:r>
    </w:p>
    <w:p>
      <w:pPr>
        <w:pStyle w:val="ListBullet"/>
      </w:pPr>
      <w:r>
        <w:t>Pilot assurance report.</w:t>
      </w:r>
    </w:p>
    <w:p>
      <w:pPr>
        <w:pStyle w:val="ListBullet"/>
      </w:pPr>
      <w:r>
        <w:t>Commercial scale-up recommendation.</w:t>
      </w:r>
    </w:p>
    <w:p>
      <w:pPr>
        <w:pStyle w:val="ListBullet"/>
      </w:pPr>
      <w:r>
        <w:t>Maintenance/operations proposal.</w:t>
      </w:r>
    </w:p>
    <w:p>
      <w:pPr>
        <w:pStyle w:val="Heading1"/>
      </w:pPr>
      <w:r>
        <w:t>18. Scale-Up Path</w:t>
      </w:r>
    </w:p>
    <w:p>
      <w:r>
        <w:rPr>
          <w:b w:val="0"/>
        </w:rPr>
        <w:t>If the pilot demonstrates measurable value, the architecture can progress without replacing the core QAI stack:</w:t>
      </w:r>
    </w:p>
    <w:p>
      <w:r>
        <w:rPr>
          <w:b w:val="0"/>
        </w:rPr>
        <w:t>Pilot → Multi-zone Farm → Multi-farm Edge Network → QAI Datacenter → QAI SaaS → QAI PaaS → QAI IaaS → Selective Quantum Acceleration.</w:t>
      </w:r>
    </w:p>
    <w:p>
      <w:pPr>
        <w:pStyle w:val="ListBullet"/>
      </w:pPr>
      <w:r>
        <w:t>Increase sensor density and field coverage.</w:t>
      </w:r>
    </w:p>
    <w:p>
      <w:pPr>
        <w:pStyle w:val="ListBullet"/>
      </w:pPr>
      <w:r>
        <w:t>Add additional edge nodes.</w:t>
      </w:r>
    </w:p>
    <w:p>
      <w:pPr>
        <w:pStyle w:val="ListBullet"/>
      </w:pPr>
      <w:r>
        <w:t>Introduce drones and machinery integrations.</w:t>
      </w:r>
    </w:p>
    <w:p>
      <w:pPr>
        <w:pStyle w:val="ListBullet"/>
      </w:pPr>
      <w:r>
        <w:t>Add AI accelerators or programmable hardware when justified.</w:t>
      </w:r>
    </w:p>
    <w:p>
      <w:pPr>
        <w:pStyle w:val="ListBullet"/>
      </w:pPr>
      <w:r>
        <w:t>Expand Azure compute/storage and network capacity.</w:t>
      </w:r>
    </w:p>
    <w:p>
      <w:pPr>
        <w:pStyle w:val="ListBullet"/>
      </w:pPr>
      <w:r>
        <w:t>Introduce multiple quantum providers through adapters.</w:t>
      </w:r>
    </w:p>
    <w:p>
      <w:pPr>
        <w:pStyle w:val="ListBullet"/>
      </w:pPr>
      <w:r>
        <w:t>Add independent validation for high-value claims.</w:t>
      </w:r>
    </w:p>
    <w:p>
      <w:pPr>
        <w:pStyle w:val="ListBullet"/>
      </w:pPr>
      <w:r>
        <w:t>Develop farm-level and enterprise-level operating/maintenance plans.</w:t>
      </w:r>
    </w:p>
    <w:p>
      <w:pPr>
        <w:pStyle w:val="Heading1"/>
      </w:pPr>
      <w:r>
        <w:t>19. Important Disclaimer</w:t>
      </w:r>
    </w:p>
    <w:p>
      <w:r>
        <w:rPr>
          <w:b w:val="0"/>
        </w:rPr>
        <w:t>This document is a proposal and feasibility framework, not a claim of regulatory approval, university certification, government endorsement, guaranteed ROI, guaranteed quantum advantage or guaranteed performance under all farm conditions. All RRP/RFI values are indicative planning figures. Final equipment, cloud resources, labour, approvals, professional sign-offs and operating costs require site-specific assessment and supplier/customer confirmation.</w:t>
      </w:r>
    </w:p>
    <w:p>
      <w:r>
        <w:rPr>
          <w:b w:val="0"/>
        </w:rPr>
        <w:t>Any references to third-party companies, technology providers, government agencies, universities, professional bodies or other organisations are intended to identify potential technologies, validation pathways or ecosystem participants only. Formal partnership, endorsement, sponsorship, approval or tie-up will be stated only where documented.</w:t>
      </w:r>
    </w:p>
    <w:p>
      <w:pPr>
        <w:pStyle w:val="Heading1"/>
      </w:pPr>
      <w:r>
        <w:t>20. Recommended Next Step</w:t>
      </w:r>
    </w:p>
    <w:p>
      <w:pPr>
        <w:pStyle w:val="ListNumber"/>
      </w:pPr>
      <w:r>
        <w:t>Conduct a 60–90 minute remote discovery session with the farmer/customer.</w:t>
      </w:r>
    </w:p>
    <w:p>
      <w:pPr>
        <w:pStyle w:val="ListNumber"/>
      </w:pPr>
      <w:r>
        <w:t>Complete a site and connectivity questionnaire.</w:t>
      </w:r>
    </w:p>
    <w:p>
      <w:pPr>
        <w:pStyle w:val="ListNumber"/>
      </w:pPr>
      <w:r>
        <w:t>Select one measurable agricultural use case.</w:t>
      </w:r>
    </w:p>
    <w:p>
      <w:pPr>
        <w:pStyle w:val="ListNumber"/>
      </w:pPr>
      <w:r>
        <w:t>Confirm the minimum pilot footprint and sensing zones.</w:t>
      </w:r>
    </w:p>
    <w:p>
      <w:pPr>
        <w:pStyle w:val="ListNumber"/>
      </w:pPr>
      <w:r>
        <w:t>Perform supplier RFIs and update the asset/cost workbook.</w:t>
      </w:r>
    </w:p>
    <w:p>
      <w:pPr>
        <w:pStyle w:val="ListNumber"/>
      </w:pPr>
      <w:r>
        <w:t>Confirm applicable regulatory and professional requirements.</w:t>
      </w:r>
    </w:p>
    <w:p>
      <w:pPr>
        <w:pStyle w:val="ListNumber"/>
      </w:pPr>
      <w:r>
        <w:t>Finalize fixed/capped pilot quotation.</w:t>
      </w:r>
    </w:p>
    <w:p>
      <w:pPr>
        <w:pStyle w:val="ListNumber"/>
      </w:pPr>
      <w:r>
        <w:t>Deploy, measure, validate and report.</w:t>
      </w:r>
    </w:p>
    <w:p>
      <w:pPr>
        <w:pStyle w:val="ListNumber"/>
      </w:pPr>
      <w:r>
        <w:t>Decide on farm-scale deployment only from measured evidence.</w:t>
      </w:r>
    </w:p>
    <w:p>
      <w:pPr>
        <w:pStyle w:val="Heading1"/>
      </w:pPr>
      <w:r>
        <w:t>Appendix A — Commercial Positioning Statement</w:t>
      </w:r>
    </w:p>
    <w:p>
      <w:r>
        <w:rPr>
          <w:b w:val="0"/>
        </w:rPr>
        <w:t>The QAI pilot is designed to give farmers and agricultural organisations a practical, evidence-based way to experiment with hybrid QAI technology without committing immediately to a large infrastructure investment. The customer receives a working field-to-cloud demonstration, measurable technical evidence, an assessment of applicable operational and regulatory requirements, and a recommendation for or against further investment.</w:t>
      </w:r>
    </w:p>
    <w:p>
      <w:pPr>
        <w:pStyle w:val="Heading1"/>
      </w:pPr>
      <w:r>
        <w:t>Appendix B — Assurance Language for RFP Responses</w:t>
      </w:r>
    </w:p>
    <w:p>
      <w:r>
        <w:rPr>
          <w:b w:val="0"/>
        </w:rPr>
        <w:t>Suggested wording: 'Our assurance approach is evidence-led. We provide documented internal QAI laboratory results and a controlled field-pilot methodology as the initial technical assurance. Where a customer requires independent validation, we can define specific measurable claims for review or reproduction by an appropriate university, research organisation, accredited laboratory or other independent body. Regulatory, professional and licensing requirements are assessed for the actual deployment rather than assumed universally.'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QAI Agriculture Pilot • RFP / Proposal Response • Working document • Subject to site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