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t>BHADALE IT</w:t>
      </w:r>
    </w:p>
    <w:p>
      <w:pPr>
        <w:pStyle w:val="Title"/>
        <w:jc w:val="center"/>
      </w:pPr>
      <w:r>
        <w:t>QAI Client Environment-Based Deployment Model</w:t>
      </w:r>
    </w:p>
    <w:p>
      <w:pPr>
        <w:spacing w:after="80"/>
        <w:jc w:val="center"/>
      </w:pPr>
      <w:r>
        <w:t>Deployment types • Client targets • Virtual desktop images • Direct CPS deployment • SaaS / PaaS / IaaS / QAI Lab</w:t>
      </w:r>
    </w:p>
    <w:p>
      <w:pPr>
        <w:spacing w:after="80"/>
        <w:jc w:val="center"/>
      </w:pPr>
      <w:r>
        <w:t>Concept and implementation planning document | Version 1.0 | 20 October 2026</w:t>
      </w:r>
    </w:p>
    <w:p>
      <w:r>
        <w:br w:type="page"/>
      </w:r>
    </w:p>
    <w:p>
      <w:pPr>
        <w:pStyle w:val="Heading1"/>
      </w:pPr>
      <w:r>
        <w:t>1. Executive summary</w:t>
      </w:r>
    </w:p>
    <w:p>
      <w:pPr>
        <w:spacing w:after="80"/>
      </w:pPr>
      <w:r>
        <w:t>This document defines a client-environment-based deployment approach for Bhadale IT's QAI platform. The goal is to help each client select a suitable deployment path and service combination without diagnosing, assembling, and troubleshooting every technical component independently. Decisions start from the client's problem, users, policies, existing assets, data boundaries, and operating constraints—not from a presumption that every client needs a complete QAI data centre.</w:t>
      </w:r>
    </w:p>
    <w:p>
      <w:pPr>
        <w:spacing w:after="80"/>
      </w:pPr>
      <w:r>
        <w:t>Clients may use prebuilt virtual desktop images for quick onboarding, deploy QAI CPS modules directly through the standard QAI Deployment Operator, or request guided engineering. These are pathways, not competing platforms. They share the QAI architecture, approved resource interfaces, governance, monitoring, and evidence practices. Service selection is separate: QAI Lab, SaaS, PaaS, IaaS-style access, and QAI-DCaaS can be combined where appropriate.</w:t>
      </w:r>
    </w:p>
    <w:p>
      <w:pPr>
        <w:pStyle w:val="Heading1"/>
      </w:pPr>
      <w:r>
        <w:t>2. Design principles</w:t>
      </w:r>
    </w:p>
    <w:p>
      <w:pPr>
        <w:pStyle w:val="ListBullet"/>
        <w:spacing w:after="80"/>
      </w:pPr>
      <w:r>
        <w:t>Client need first: select only capabilities and resources justified by the use case.</w:t>
      </w:r>
    </w:p>
    <w:p>
      <w:pPr>
        <w:pStyle w:val="ListBullet"/>
        <w:spacing w:after="80"/>
      </w:pPr>
      <w:r>
        <w:t>One platform, multiple deployment pathways; reuse architecture and control contracts.</w:t>
      </w:r>
    </w:p>
    <w:p>
      <w:pPr>
        <w:pStyle w:val="ListBullet"/>
        <w:spacing w:after="80"/>
      </w:pPr>
      <w:r>
        <w:t>Virtual desktop is optional, not a prerequisite for QAI services.</w:t>
      </w:r>
    </w:p>
    <w:p>
      <w:pPr>
        <w:pStyle w:val="ListBullet"/>
        <w:spacing w:after="80"/>
      </w:pPr>
      <w:r>
        <w:t>Use the standard Operator lifecycle where supported: discovery, planning, approval, deployment, validation, evidence.</w:t>
      </w:r>
    </w:p>
    <w:p>
      <w:pPr>
        <w:pStyle w:val="ListBullet"/>
        <w:spacing w:after="80"/>
      </w:pPr>
      <w:r>
        <w:t>Test compatibility; an image does not prove every application, driver, OS, library, or backend works together.</w:t>
      </w:r>
    </w:p>
    <w:p>
      <w:pPr>
        <w:pStyle w:val="ListBullet"/>
        <w:spacing w:after="80"/>
      </w:pPr>
      <w:r>
        <w:t>Define data locality, allowed metadata flows, outputs, retention, and logs.</w:t>
      </w:r>
    </w:p>
    <w:p>
      <w:pPr>
        <w:pStyle w:val="ListBullet"/>
        <w:spacing w:after="80"/>
      </w:pPr>
      <w:r>
        <w:t>Apply least privilege, controlled credentials, user isolation, auditability, and policy-based access.</w:t>
      </w:r>
    </w:p>
    <w:p>
      <w:pPr>
        <w:pStyle w:val="ListBullet"/>
        <w:spacing w:after="80"/>
      </w:pPr>
      <w:r>
        <w:t>Validate a bounded baseline before introducing costly GPU, HPC, or quantum resources.</w:t>
      </w:r>
    </w:p>
    <w:p>
      <w:pPr>
        <w:pStyle w:val="ListBullet"/>
        <w:spacing w:after="80"/>
      </w:pPr>
      <w:r>
        <w:t>Make provisioning, consumption, suspension, cleanup, release, retention, and support responsibilities explicit.</w:t>
      </w:r>
    </w:p>
    <w:p>
      <w:pPr>
        <w:pStyle w:val="Heading1"/>
      </w:pPr>
      <w:r>
        <w:t>3. Deployment pathways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9EAF7"/>
          </w:tcPr>
          <w:p>
            <w:r>
              <w:rPr>
                <w:b/>
                <w:sz w:val="15"/>
              </w:rPr>
              <w:t>Pathway</w:t>
            </w:r>
          </w:p>
        </w:tc>
        <w:tc>
          <w:tcPr>
            <w:tcW w:type="dxa" w:w="2045"/>
            <w:shd w:fill="D9EAF7"/>
          </w:tcPr>
          <w:p>
            <w:r>
              <w:rPr>
                <w:b/>
                <w:sz w:val="15"/>
              </w:rPr>
              <w:t>Best suited to</w:t>
            </w:r>
          </w:p>
        </w:tc>
        <w:tc>
          <w:tcPr>
            <w:tcW w:type="dxa" w:w="2045"/>
            <w:shd w:fill="D9EAF7"/>
          </w:tcPr>
          <w:p>
            <w:r>
              <w:rPr>
                <w:b/>
                <w:sz w:val="15"/>
              </w:rPr>
              <w:t>Starting point</w:t>
            </w:r>
          </w:p>
        </w:tc>
        <w:tc>
          <w:tcPr>
            <w:tcW w:type="dxa" w:w="2045"/>
            <w:shd w:fill="D9EAF7"/>
          </w:tcPr>
          <w:p>
            <w:r>
              <w:rPr>
                <w:b/>
                <w:sz w:val="15"/>
              </w:rPr>
              <w:t>Typical flow</w:t>
            </w:r>
          </w:p>
        </w:tc>
        <w:tc>
          <w:tcPr>
            <w:tcW w:type="dxa" w:w="2045"/>
            <w:shd w:fill="D9EAF7"/>
          </w:tcPr>
          <w:p>
            <w:r>
              <w:rPr>
                <w:b/>
                <w:sz w:val="15"/>
              </w:rPr>
              <w:t>Client effort</w:t>
            </w:r>
          </w:p>
        </w:tc>
      </w:tr>
      <w:tr>
        <w:tc>
          <w:tcPr>
            <w:tcW w:type="dxa" w:w="2045"/>
          </w:tcPr>
          <w:p>
            <w:pPr>
              <w:spacing w:after="20"/>
            </w:pPr>
            <w:r>
              <w:rPr>
                <w:rFonts w:ascii="Aptos" w:hAnsi="Aptos"/>
                <w:sz w:val="14"/>
              </w:rPr>
              <w:t>A. Prebuilt virtual desktop</w:t>
            </w:r>
          </w:p>
        </w:tc>
        <w:tc>
          <w:tcPr>
            <w:tcW w:type="dxa" w:w="2045"/>
          </w:tcPr>
          <w:p>
            <w:pPr>
              <w:spacing w:after="20"/>
            </w:pPr>
            <w:r>
              <w:rPr>
                <w:rFonts w:ascii="Aptos" w:hAnsi="Aptos"/>
                <w:sz w:val="14"/>
              </w:rPr>
              <w:t>Learners, developers, analysts, researchers needing quick setup</w:t>
            </w:r>
          </w:p>
        </w:tc>
        <w:tc>
          <w:tcPr>
            <w:tcW w:type="dxa" w:w="2045"/>
          </w:tcPr>
          <w:p>
            <w:pPr>
              <w:spacing w:after="20"/>
            </w:pPr>
            <w:r>
              <w:rPr>
                <w:rFonts w:ascii="Aptos" w:hAnsi="Aptos"/>
                <w:sz w:val="14"/>
              </w:rPr>
              <w:t>Approved image and role</w:t>
            </w:r>
          </w:p>
        </w:tc>
        <w:tc>
          <w:tcPr>
            <w:tcW w:type="dxa" w:w="2045"/>
          </w:tcPr>
          <w:p>
            <w:pPr>
              <w:spacing w:after="20"/>
            </w:pPr>
            <w:r>
              <w:rPr>
                <w:rFonts w:ascii="Aptos" w:hAnsi="Aptos"/>
                <w:sz w:val="14"/>
              </w:rPr>
              <w:t>Select → provision → connect → work → save → reset/release</w:t>
            </w:r>
          </w:p>
        </w:tc>
        <w:tc>
          <w:tcPr>
            <w:tcW w:type="dxa" w:w="2045"/>
          </w:tcPr>
          <w:p>
            <w:pPr>
              <w:spacing w:after="20"/>
            </w:pPr>
            <w:r>
              <w:rPr>
                <w:rFonts w:ascii="Aptos" w:hAnsi="Aptos"/>
                <w:sz w:val="14"/>
              </w:rPr>
              <w:t>Low–moderate</w:t>
            </w:r>
          </w:p>
        </w:tc>
      </w:tr>
      <w:tr>
        <w:tc>
          <w:tcPr>
            <w:tcW w:type="dxa" w:w="2045"/>
          </w:tcPr>
          <w:p>
            <w:pPr>
              <w:spacing w:after="20"/>
            </w:pPr>
            <w:r>
              <w:rPr>
                <w:rFonts w:ascii="Aptos" w:hAnsi="Aptos"/>
                <w:sz w:val="14"/>
              </w:rPr>
              <w:t>B. Direct CPS via Operator</w:t>
            </w:r>
          </w:p>
        </w:tc>
        <w:tc>
          <w:tcPr>
            <w:tcW w:type="dxa" w:w="2045"/>
          </w:tcPr>
          <w:p>
            <w:pPr>
              <w:spacing w:after="20"/>
            </w:pPr>
            <w:r>
              <w:rPr>
                <w:rFonts w:ascii="Aptos" w:hAnsi="Aptos"/>
                <w:sz w:val="14"/>
              </w:rPr>
              <w:t>Platform engineers, existing infrastructure, bespoke topology</w:t>
            </w:r>
          </w:p>
        </w:tc>
        <w:tc>
          <w:tcPr>
            <w:tcW w:type="dxa" w:w="2045"/>
          </w:tcPr>
          <w:p>
            <w:pPr>
              <w:spacing w:after="20"/>
            </w:pPr>
            <w:r>
              <w:rPr>
                <w:rFonts w:ascii="Aptos" w:hAnsi="Aptos"/>
                <w:sz w:val="14"/>
              </w:rPr>
              <w:t>Problem, target environment, capability requirements</w:t>
            </w:r>
          </w:p>
        </w:tc>
        <w:tc>
          <w:tcPr>
            <w:tcW w:type="dxa" w:w="2045"/>
          </w:tcPr>
          <w:p>
            <w:pPr>
              <w:spacing w:after="20"/>
            </w:pPr>
            <w:r>
              <w:rPr>
                <w:rFonts w:ascii="Aptos" w:hAnsi="Aptos"/>
                <w:sz w:val="14"/>
              </w:rPr>
              <w:t>Discover → assess → select modules → plan → approve → deploy → validate</w:t>
            </w:r>
          </w:p>
        </w:tc>
        <w:tc>
          <w:tcPr>
            <w:tcW w:type="dxa" w:w="2045"/>
          </w:tcPr>
          <w:p>
            <w:pPr>
              <w:spacing w:after="20"/>
            </w:pPr>
            <w:r>
              <w:rPr>
                <w:rFonts w:ascii="Aptos" w:hAnsi="Aptos"/>
                <w:sz w:val="14"/>
              </w:rPr>
              <w:t>Moderate–high</w:t>
            </w:r>
          </w:p>
        </w:tc>
      </w:tr>
      <w:tr>
        <w:tc>
          <w:tcPr>
            <w:tcW w:type="dxa" w:w="2045"/>
          </w:tcPr>
          <w:p>
            <w:pPr>
              <w:spacing w:after="20"/>
            </w:pPr>
            <w:r>
              <w:rPr>
                <w:rFonts w:ascii="Aptos" w:hAnsi="Aptos"/>
                <w:sz w:val="14"/>
              </w:rPr>
              <w:t>C. Guided deployment</w:t>
            </w:r>
          </w:p>
        </w:tc>
        <w:tc>
          <w:tcPr>
            <w:tcW w:type="dxa" w:w="2045"/>
          </w:tcPr>
          <w:p>
            <w:pPr>
              <w:spacing w:after="20"/>
            </w:pPr>
            <w:r>
              <w:rPr>
                <w:rFonts w:ascii="Aptos" w:hAnsi="Aptos"/>
                <w:sz w:val="14"/>
              </w:rPr>
              <w:t>Clients without deep QAI/FAEP expertise</w:t>
            </w:r>
          </w:p>
        </w:tc>
        <w:tc>
          <w:tcPr>
            <w:tcW w:type="dxa" w:w="2045"/>
          </w:tcPr>
          <w:p>
            <w:pPr>
              <w:spacing w:after="20"/>
            </w:pPr>
            <w:r>
              <w:rPr>
                <w:rFonts w:ascii="Aptos" w:hAnsi="Aptos"/>
                <w:sz w:val="14"/>
              </w:rPr>
              <w:t>Requirements workshop</w:t>
            </w:r>
          </w:p>
        </w:tc>
        <w:tc>
          <w:tcPr>
            <w:tcW w:type="dxa" w:w="2045"/>
          </w:tcPr>
          <w:p>
            <w:pPr>
              <w:spacing w:after="20"/>
            </w:pPr>
            <w:r>
              <w:rPr>
                <w:rFonts w:ascii="Aptos" w:hAnsi="Aptos"/>
                <w:sz w:val="14"/>
              </w:rPr>
              <w:t>Assess → recommend → plan → approve → deploy → validate and hand over</w:t>
            </w:r>
          </w:p>
        </w:tc>
        <w:tc>
          <w:tcPr>
            <w:tcW w:type="dxa" w:w="2045"/>
          </w:tcPr>
          <w:p>
            <w:pPr>
              <w:spacing w:after="20"/>
            </w:pPr>
            <w:r>
              <w:rPr>
                <w:rFonts w:ascii="Aptos" w:hAnsi="Aptos"/>
                <w:sz w:val="14"/>
              </w:rPr>
              <w:t>Lower client effort; Bhadale IT provides engineering</w:t>
            </w:r>
          </w:p>
        </w:tc>
      </w:tr>
    </w:tbl>
    <w:p/>
    <w:p>
      <w:pPr>
        <w:pStyle w:val="Heading1"/>
      </w:pPr>
      <w:r>
        <w:t>4. Client targets and deployment fit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sz w:val="15"/>
              </w:rPr>
              <w:t>Client / target</w:t>
            </w:r>
          </w:p>
        </w:tc>
        <w:tc>
          <w:tcPr>
            <w:tcW w:type="dxa" w:w="2556"/>
            <w:shd w:fill="D9EAF7"/>
          </w:tcPr>
          <w:p>
            <w:r>
              <w:rPr>
                <w:b/>
                <w:sz w:val="15"/>
              </w:rPr>
              <w:t>Likely needs</w:t>
            </w:r>
          </w:p>
        </w:tc>
        <w:tc>
          <w:tcPr>
            <w:tcW w:type="dxa" w:w="2556"/>
            <w:shd w:fill="D9EAF7"/>
          </w:tcPr>
          <w:p>
            <w:r>
              <w:rPr>
                <w:b/>
                <w:sz w:val="15"/>
              </w:rPr>
              <w:t>Candidate deployment</w:t>
            </w:r>
          </w:p>
        </w:tc>
        <w:tc>
          <w:tcPr>
            <w:tcW w:type="dxa" w:w="2556"/>
            <w:shd w:fill="D9EAF7"/>
          </w:tcPr>
          <w:p>
            <w:r>
              <w:rPr>
                <w:b/>
                <w:sz w:val="15"/>
              </w:rPr>
              <w:t>Potential service mix</w:t>
            </w:r>
          </w:p>
        </w:tc>
      </w:tr>
      <w:tr>
        <w:tc>
          <w:tcPr>
            <w:tcW w:type="dxa" w:w="2556"/>
          </w:tcPr>
          <w:p>
            <w:pPr>
              <w:spacing w:after="20"/>
            </w:pPr>
            <w:r>
              <w:rPr>
                <w:rFonts w:ascii="Aptos" w:hAnsi="Aptos"/>
                <w:sz w:val="14"/>
              </w:rPr>
              <w:t>Schools, libraries, community centres</w:t>
            </w:r>
          </w:p>
        </w:tc>
        <w:tc>
          <w:tcPr>
            <w:tcW w:type="dxa" w:w="2556"/>
          </w:tcPr>
          <w:p>
            <w:pPr>
              <w:spacing w:after="20"/>
            </w:pPr>
            <w:r>
              <w:rPr>
                <w:rFonts w:ascii="Aptos" w:hAnsi="Aptos"/>
                <w:sz w:val="14"/>
              </w:rPr>
              <w:t>Public learning, coding, guided labs</w:t>
            </w:r>
          </w:p>
        </w:tc>
        <w:tc>
          <w:tcPr>
            <w:tcW w:type="dxa" w:w="2556"/>
          </w:tcPr>
          <w:p>
            <w:pPr>
              <w:spacing w:after="20"/>
            </w:pPr>
            <w:r>
              <w:rPr>
                <w:rFonts w:ascii="Aptos" w:hAnsi="Aptos"/>
                <w:sz w:val="14"/>
              </w:rPr>
              <w:t>Public terminal + Learning-Base</w:t>
            </w:r>
          </w:p>
        </w:tc>
        <w:tc>
          <w:tcPr>
            <w:tcW w:type="dxa" w:w="2556"/>
          </w:tcPr>
          <w:p>
            <w:pPr>
              <w:spacing w:after="20"/>
            </w:pPr>
            <w:r>
              <w:rPr>
                <w:rFonts w:ascii="Aptos" w:hAnsi="Aptos"/>
                <w:sz w:val="14"/>
              </w:rPr>
              <w:t>FAEP Academy, Moodle, Git, notebooks, limited compute</w:t>
            </w:r>
          </w:p>
        </w:tc>
      </w:tr>
      <w:tr>
        <w:tc>
          <w:tcPr>
            <w:tcW w:type="dxa" w:w="2556"/>
          </w:tcPr>
          <w:p>
            <w:pPr>
              <w:spacing w:after="20"/>
            </w:pPr>
            <w:r>
              <w:rPr>
                <w:rFonts w:ascii="Aptos" w:hAnsi="Aptos"/>
                <w:sz w:val="14"/>
              </w:rPr>
              <w:t>Universities and research institutes</w:t>
            </w:r>
          </w:p>
        </w:tc>
        <w:tc>
          <w:tcPr>
            <w:tcW w:type="dxa" w:w="2556"/>
          </w:tcPr>
          <w:p>
            <w:pPr>
              <w:spacing w:after="20"/>
            </w:pPr>
            <w:r>
              <w:rPr>
                <w:rFonts w:ascii="Aptos" w:hAnsi="Aptos"/>
                <w:sz w:val="14"/>
              </w:rPr>
              <w:t>Courses, research, reproducible experiments</w:t>
            </w:r>
          </w:p>
        </w:tc>
        <w:tc>
          <w:tcPr>
            <w:tcW w:type="dxa" w:w="2556"/>
          </w:tcPr>
          <w:p>
            <w:pPr>
              <w:spacing w:after="20"/>
            </w:pPr>
            <w:r>
              <w:rPr>
                <w:rFonts w:ascii="Aptos" w:hAnsi="Aptos"/>
                <w:sz w:val="14"/>
              </w:rPr>
              <w:t>Research desktop or institutional cluster integration</w:t>
            </w:r>
          </w:p>
        </w:tc>
        <w:tc>
          <w:tcPr>
            <w:tcW w:type="dxa" w:w="2556"/>
          </w:tcPr>
          <w:p>
            <w:pPr>
              <w:spacing w:after="20"/>
            </w:pPr>
            <w:r>
              <w:rPr>
                <w:rFonts w:ascii="Aptos" w:hAnsi="Aptos"/>
                <w:sz w:val="14"/>
              </w:rPr>
              <w:t>QAI Lab, PaaS, CPU/GPU simulation, approved quantum services</w:t>
            </w:r>
          </w:p>
        </w:tc>
      </w:tr>
      <w:tr>
        <w:tc>
          <w:tcPr>
            <w:tcW w:type="dxa" w:w="2556"/>
          </w:tcPr>
          <w:p>
            <w:pPr>
              <w:spacing w:after="20"/>
            </w:pPr>
            <w:r>
              <w:rPr>
                <w:rFonts w:ascii="Aptos" w:hAnsi="Aptos"/>
                <w:sz w:val="14"/>
              </w:rPr>
              <w:t>SMEs and product teams</w:t>
            </w:r>
          </w:p>
        </w:tc>
        <w:tc>
          <w:tcPr>
            <w:tcW w:type="dxa" w:w="2556"/>
          </w:tcPr>
          <w:p>
            <w:pPr>
              <w:spacing w:after="20"/>
            </w:pPr>
            <w:r>
              <w:rPr>
                <w:rFonts w:ascii="Aptos" w:hAnsi="Aptos"/>
                <w:sz w:val="14"/>
              </w:rPr>
              <w:t>Prototype AI/QAI products and workflows</w:t>
            </w:r>
          </w:p>
        </w:tc>
        <w:tc>
          <w:tcPr>
            <w:tcW w:type="dxa" w:w="2556"/>
          </w:tcPr>
          <w:p>
            <w:pPr>
              <w:spacing w:after="20"/>
            </w:pPr>
            <w:r>
              <w:rPr>
                <w:rFonts w:ascii="Aptos" w:hAnsi="Aptos"/>
                <w:sz w:val="14"/>
              </w:rPr>
              <w:t>Developer/AI image or guided CPS</w:t>
            </w:r>
          </w:p>
        </w:tc>
        <w:tc>
          <w:tcPr>
            <w:tcW w:type="dxa" w:w="2556"/>
          </w:tcPr>
          <w:p>
            <w:pPr>
              <w:spacing w:after="20"/>
            </w:pPr>
            <w:r>
              <w:rPr>
                <w:rFonts w:ascii="Aptos" w:hAnsi="Aptos"/>
                <w:sz w:val="14"/>
              </w:rPr>
              <w:t>PaaS, QAI Lab, selected SaaS</w:t>
            </w:r>
          </w:p>
        </w:tc>
      </w:tr>
      <w:tr>
        <w:tc>
          <w:tcPr>
            <w:tcW w:type="dxa" w:w="2556"/>
          </w:tcPr>
          <w:p>
            <w:pPr>
              <w:spacing w:after="20"/>
            </w:pPr>
            <w:r>
              <w:rPr>
                <w:rFonts w:ascii="Aptos" w:hAnsi="Aptos"/>
                <w:sz w:val="14"/>
              </w:rPr>
              <w:t>Government / regulated client</w:t>
            </w:r>
          </w:p>
        </w:tc>
        <w:tc>
          <w:tcPr>
            <w:tcW w:type="dxa" w:w="2556"/>
          </w:tcPr>
          <w:p>
            <w:pPr>
              <w:spacing w:after="20"/>
            </w:pPr>
            <w:r>
              <w:rPr>
                <w:rFonts w:ascii="Aptos" w:hAnsi="Aptos"/>
                <w:sz w:val="14"/>
              </w:rPr>
              <w:t>Policy-bound access, traceability, approved hosting</w:t>
            </w:r>
          </w:p>
        </w:tc>
        <w:tc>
          <w:tcPr>
            <w:tcW w:type="dxa" w:w="2556"/>
          </w:tcPr>
          <w:p>
            <w:pPr>
              <w:spacing w:after="20"/>
            </w:pPr>
            <w:r>
              <w:rPr>
                <w:rFonts w:ascii="Aptos" w:hAnsi="Aptos"/>
                <w:sz w:val="14"/>
              </w:rPr>
              <w:t>Client-controlled desktop or direct deployment</w:t>
            </w:r>
          </w:p>
        </w:tc>
        <w:tc>
          <w:tcPr>
            <w:tcW w:type="dxa" w:w="2556"/>
          </w:tcPr>
          <w:p>
            <w:pPr>
              <w:spacing w:after="20"/>
            </w:pPr>
            <w:r>
              <w:rPr>
                <w:rFonts w:ascii="Aptos" w:hAnsi="Aptos"/>
                <w:sz w:val="14"/>
              </w:rPr>
              <w:t>Services subject to procurement/security/hosting assessment</w:t>
            </w:r>
          </w:p>
        </w:tc>
      </w:tr>
      <w:tr>
        <w:tc>
          <w:tcPr>
            <w:tcW w:type="dxa" w:w="2556"/>
          </w:tcPr>
          <w:p>
            <w:pPr>
              <w:spacing w:after="20"/>
            </w:pPr>
            <w:r>
              <w:rPr>
                <w:rFonts w:ascii="Aptos" w:hAnsi="Aptos"/>
                <w:sz w:val="14"/>
              </w:rPr>
              <w:t>Enterprise / subsidiary</w:t>
            </w:r>
          </w:p>
        </w:tc>
        <w:tc>
          <w:tcPr>
            <w:tcW w:type="dxa" w:w="2556"/>
          </w:tcPr>
          <w:p>
            <w:pPr>
              <w:spacing w:after="20"/>
            </w:pPr>
            <w:r>
              <w:rPr>
                <w:rFonts w:ascii="Aptos" w:hAnsi="Aptos"/>
                <w:sz w:val="14"/>
              </w:rPr>
              <w:t>Project environments, role-based access, cost control</w:t>
            </w:r>
          </w:p>
        </w:tc>
        <w:tc>
          <w:tcPr>
            <w:tcW w:type="dxa" w:w="2556"/>
          </w:tcPr>
          <w:p>
            <w:pPr>
              <w:spacing w:after="20"/>
            </w:pPr>
            <w:r>
              <w:rPr>
                <w:rFonts w:ascii="Aptos" w:hAnsi="Aptos"/>
                <w:sz w:val="14"/>
              </w:rPr>
              <w:t>Desktop for users; direct CPS for integration</w:t>
            </w:r>
          </w:p>
        </w:tc>
        <w:tc>
          <w:tcPr>
            <w:tcW w:type="dxa" w:w="2556"/>
          </w:tcPr>
          <w:p>
            <w:pPr>
              <w:spacing w:after="20"/>
            </w:pPr>
            <w:r>
              <w:rPr>
                <w:rFonts w:ascii="Aptos" w:hAnsi="Aptos"/>
                <w:sz w:val="14"/>
              </w:rPr>
              <w:t>QAI-DCaaS, PaaS, SaaS, managed engineering</w:t>
            </w:r>
          </w:p>
        </w:tc>
      </w:tr>
      <w:tr>
        <w:tc>
          <w:tcPr>
            <w:tcW w:type="dxa" w:w="2556"/>
          </w:tcPr>
          <w:p>
            <w:pPr>
              <w:spacing w:after="20"/>
            </w:pPr>
            <w:r>
              <w:rPr>
                <w:rFonts w:ascii="Aptos" w:hAnsi="Aptos"/>
                <w:sz w:val="14"/>
              </w:rPr>
              <w:t>Colocation / hosting partner</w:t>
            </w:r>
          </w:p>
        </w:tc>
        <w:tc>
          <w:tcPr>
            <w:tcW w:type="dxa" w:w="2556"/>
          </w:tcPr>
          <w:p>
            <w:pPr>
              <w:spacing w:after="20"/>
            </w:pPr>
            <w:r>
              <w:rPr>
                <w:rFonts w:ascii="Aptos" w:hAnsi="Aptos"/>
                <w:sz w:val="14"/>
              </w:rPr>
              <w:t>Shared infrastructure and controlled connectivity</w:t>
            </w:r>
          </w:p>
        </w:tc>
        <w:tc>
          <w:tcPr>
            <w:tcW w:type="dxa" w:w="2556"/>
          </w:tcPr>
          <w:p>
            <w:pPr>
              <w:spacing w:after="20"/>
            </w:pPr>
            <w:r>
              <w:rPr>
                <w:rFonts w:ascii="Aptos" w:hAnsi="Aptos"/>
                <w:sz w:val="14"/>
              </w:rPr>
              <w:t>Direct CPS/resource integration</w:t>
            </w:r>
          </w:p>
        </w:tc>
        <w:tc>
          <w:tcPr>
            <w:tcW w:type="dxa" w:w="2556"/>
          </w:tcPr>
          <w:p>
            <w:pPr>
              <w:spacing w:after="20"/>
            </w:pPr>
            <w:r>
              <w:rPr>
                <w:rFonts w:ascii="Aptos" w:hAnsi="Aptos"/>
                <w:sz w:val="14"/>
              </w:rPr>
              <w:t>IaaS-style access, QAI-DCaaS, PaaS</w:t>
            </w:r>
          </w:p>
        </w:tc>
      </w:tr>
      <w:tr>
        <w:tc>
          <w:tcPr>
            <w:tcW w:type="dxa" w:w="2556"/>
          </w:tcPr>
          <w:p>
            <w:pPr>
              <w:spacing w:after="20"/>
            </w:pPr>
            <w:r>
              <w:rPr>
                <w:rFonts w:ascii="Aptos" w:hAnsi="Aptos"/>
                <w:sz w:val="14"/>
              </w:rPr>
              <w:t>Individual / advanced researcher</w:t>
            </w:r>
          </w:p>
        </w:tc>
        <w:tc>
          <w:tcPr>
            <w:tcW w:type="dxa" w:w="2556"/>
          </w:tcPr>
          <w:p>
            <w:pPr>
              <w:spacing w:after="20"/>
            </w:pPr>
            <w:r>
              <w:rPr>
                <w:rFonts w:ascii="Aptos" w:hAnsi="Aptos"/>
                <w:sz w:val="14"/>
              </w:rPr>
              <w:t>Local development with remote compute</w:t>
            </w:r>
          </w:p>
        </w:tc>
        <w:tc>
          <w:tcPr>
            <w:tcW w:type="dxa" w:w="2556"/>
          </w:tcPr>
          <w:p>
            <w:pPr>
              <w:spacing w:after="20"/>
            </w:pPr>
            <w:r>
              <w:rPr>
                <w:rFonts w:ascii="Aptos" w:hAnsi="Aptos"/>
                <w:sz w:val="14"/>
              </w:rPr>
              <w:t>Mobile Research or remote desktop</w:t>
            </w:r>
          </w:p>
        </w:tc>
        <w:tc>
          <w:tcPr>
            <w:tcW w:type="dxa" w:w="2556"/>
          </w:tcPr>
          <w:p>
            <w:pPr>
              <w:spacing w:after="20"/>
            </w:pPr>
            <w:r>
              <w:rPr>
                <w:rFonts w:ascii="Aptos" w:hAnsi="Aptos"/>
                <w:sz w:val="14"/>
              </w:rPr>
              <w:t>QAI Lab, simulator, approved HPC/GPU/QPU connectivity</w:t>
            </w:r>
          </w:p>
        </w:tc>
      </w:tr>
    </w:tbl>
    <w:p/>
    <w:p>
      <w:pPr>
        <w:spacing w:after="80"/>
      </w:pPr>
      <w:r>
        <w:t>These are candidate fits, not guarantees of eligibility or availability. Assess hosting, procurement, data residency, accessibility, safeguarding, and security for each client.</w:t>
      </w:r>
    </w:p>
    <w:p>
      <w:pPr>
        <w:pStyle w:val="Heading1"/>
      </w:pPr>
      <w:r>
        <w:t>5. Virtual desktop image catalogue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sz w:val="15"/>
              </w:rPr>
              <w:t>Image profile</w:t>
            </w:r>
          </w:p>
        </w:tc>
        <w:tc>
          <w:tcPr>
            <w:tcW w:type="dxa" w:w="2556"/>
            <w:shd w:fill="D9EAF7"/>
          </w:tcPr>
          <w:p>
            <w:r>
              <w:rPr>
                <w:b/>
                <w:sz w:val="15"/>
              </w:rPr>
              <w:t>Use</w:t>
            </w:r>
          </w:p>
        </w:tc>
        <w:tc>
          <w:tcPr>
            <w:tcW w:type="dxa" w:w="2556"/>
            <w:shd w:fill="D9EAF7"/>
          </w:tcPr>
          <w:p>
            <w:r>
              <w:rPr>
                <w:b/>
                <w:sz w:val="15"/>
              </w:rPr>
              <w:t>Indicative components</w:t>
            </w:r>
          </w:p>
        </w:tc>
        <w:tc>
          <w:tcPr>
            <w:tcW w:type="dxa" w:w="2556"/>
            <w:shd w:fill="D9EAF7"/>
          </w:tcPr>
          <w:p>
            <w:r>
              <w:rPr>
                <w:b/>
                <w:sz w:val="15"/>
              </w:rPr>
              <w:t>Boundary</w:t>
            </w:r>
          </w:p>
        </w:tc>
      </w:tr>
      <w:tr>
        <w:tc>
          <w:tcPr>
            <w:tcW w:type="dxa" w:w="2556"/>
          </w:tcPr>
          <w:p>
            <w:pPr>
              <w:spacing w:after="20"/>
            </w:pPr>
            <w:r>
              <w:rPr>
                <w:rFonts w:ascii="Aptos" w:hAnsi="Aptos"/>
                <w:sz w:val="14"/>
              </w:rPr>
              <w:t>QAI-Learning-Base</w:t>
            </w:r>
          </w:p>
        </w:tc>
        <w:tc>
          <w:tcPr>
            <w:tcW w:type="dxa" w:w="2556"/>
          </w:tcPr>
          <w:p>
            <w:pPr>
              <w:spacing w:after="20"/>
            </w:pPr>
            <w:r>
              <w:rPr>
                <w:rFonts w:ascii="Aptos" w:hAnsi="Aptos"/>
                <w:sz w:val="14"/>
              </w:rPr>
              <w:t>General learning</w:t>
            </w:r>
          </w:p>
        </w:tc>
        <w:tc>
          <w:tcPr>
            <w:tcW w:type="dxa" w:w="2556"/>
          </w:tcPr>
          <w:p>
            <w:pPr>
              <w:spacing w:after="20"/>
            </w:pPr>
            <w:r>
              <w:rPr>
                <w:rFonts w:ascii="Aptos" w:hAnsi="Aptos"/>
                <w:sz w:val="14"/>
              </w:rPr>
              <w:t>Browser, approved learning portals, basic tools</w:t>
            </w:r>
          </w:p>
        </w:tc>
        <w:tc>
          <w:tcPr>
            <w:tcW w:type="dxa" w:w="2556"/>
          </w:tcPr>
          <w:p>
            <w:pPr>
              <w:spacing w:after="20"/>
            </w:pPr>
            <w:r>
              <w:rPr>
                <w:rFonts w:ascii="Aptos" w:hAnsi="Aptos"/>
                <w:sz w:val="14"/>
              </w:rPr>
              <w:t>Restricted privileges and isolated sessions</w:t>
            </w:r>
          </w:p>
        </w:tc>
      </w:tr>
      <w:tr>
        <w:tc>
          <w:tcPr>
            <w:tcW w:type="dxa" w:w="2556"/>
          </w:tcPr>
          <w:p>
            <w:pPr>
              <w:spacing w:after="20"/>
            </w:pPr>
            <w:r>
              <w:rPr>
                <w:rFonts w:ascii="Aptos" w:hAnsi="Aptos"/>
                <w:sz w:val="14"/>
              </w:rPr>
              <w:t>QAI-Developer</w:t>
            </w:r>
          </w:p>
        </w:tc>
        <w:tc>
          <w:tcPr>
            <w:tcW w:type="dxa" w:w="2556"/>
          </w:tcPr>
          <w:p>
            <w:pPr>
              <w:spacing w:after="20"/>
            </w:pPr>
            <w:r>
              <w:rPr>
                <w:rFonts w:ascii="Aptos" w:hAnsi="Aptos"/>
                <w:sz w:val="14"/>
              </w:rPr>
              <w:t>Software development</w:t>
            </w:r>
          </w:p>
        </w:tc>
        <w:tc>
          <w:tcPr>
            <w:tcW w:type="dxa" w:w="2556"/>
          </w:tcPr>
          <w:p>
            <w:pPr>
              <w:spacing w:after="20"/>
            </w:pPr>
            <w:r>
              <w:rPr>
                <w:rFonts w:ascii="Aptos" w:hAnsi="Aptos"/>
                <w:sz w:val="14"/>
              </w:rPr>
              <w:t>Supported IDE, Git, Python, libraries, API tools</w:t>
            </w:r>
          </w:p>
        </w:tc>
        <w:tc>
          <w:tcPr>
            <w:tcW w:type="dxa" w:w="2556"/>
          </w:tcPr>
          <w:p>
            <w:pPr>
              <w:spacing w:after="20"/>
            </w:pPr>
            <w:r>
              <w:rPr>
                <w:rFonts w:ascii="Aptos" w:hAnsi="Aptos"/>
                <w:sz w:val="14"/>
              </w:rPr>
              <w:t>Package/repository access controlled</w:t>
            </w:r>
          </w:p>
        </w:tc>
      </w:tr>
      <w:tr>
        <w:tc>
          <w:tcPr>
            <w:tcW w:type="dxa" w:w="2556"/>
          </w:tcPr>
          <w:p>
            <w:pPr>
              <w:spacing w:after="20"/>
            </w:pPr>
            <w:r>
              <w:rPr>
                <w:rFonts w:ascii="Aptos" w:hAnsi="Aptos"/>
                <w:sz w:val="14"/>
              </w:rPr>
              <w:t>QAI-AI-Lab</w:t>
            </w:r>
          </w:p>
        </w:tc>
        <w:tc>
          <w:tcPr>
            <w:tcW w:type="dxa" w:w="2556"/>
          </w:tcPr>
          <w:p>
            <w:pPr>
              <w:spacing w:after="20"/>
            </w:pPr>
            <w:r>
              <w:rPr>
                <w:rFonts w:ascii="Aptos" w:hAnsi="Aptos"/>
                <w:sz w:val="14"/>
              </w:rPr>
              <w:t>AI learning/prototyping</w:t>
            </w:r>
          </w:p>
        </w:tc>
        <w:tc>
          <w:tcPr>
            <w:tcW w:type="dxa" w:w="2556"/>
          </w:tcPr>
          <w:p>
            <w:pPr>
              <w:spacing w:after="20"/>
            </w:pPr>
            <w:r>
              <w:rPr>
                <w:rFonts w:ascii="Aptos" w:hAnsi="Aptos"/>
                <w:sz w:val="14"/>
              </w:rPr>
              <w:t>Python, notebooks, AI libraries, remote GPU connector</w:t>
            </w:r>
          </w:p>
        </w:tc>
        <w:tc>
          <w:tcPr>
            <w:tcW w:type="dxa" w:w="2556"/>
          </w:tcPr>
          <w:p>
            <w:pPr>
              <w:spacing w:after="20"/>
            </w:pPr>
            <w:r>
              <w:rPr>
                <w:rFonts w:ascii="Aptos" w:hAnsi="Aptos"/>
                <w:sz w:val="14"/>
              </w:rPr>
              <w:t>GPU requires compatible backend and quota</w:t>
            </w:r>
          </w:p>
        </w:tc>
      </w:tr>
      <w:tr>
        <w:tc>
          <w:tcPr>
            <w:tcW w:type="dxa" w:w="2556"/>
          </w:tcPr>
          <w:p>
            <w:pPr>
              <w:spacing w:after="20"/>
            </w:pPr>
            <w:r>
              <w:rPr>
                <w:rFonts w:ascii="Aptos" w:hAnsi="Aptos"/>
                <w:sz w:val="14"/>
              </w:rPr>
              <w:t>QAI-Quantum-Lab</w:t>
            </w:r>
          </w:p>
        </w:tc>
        <w:tc>
          <w:tcPr>
            <w:tcW w:type="dxa" w:w="2556"/>
          </w:tcPr>
          <w:p>
            <w:pPr>
              <w:spacing w:after="20"/>
            </w:pPr>
            <w:r>
              <w:rPr>
                <w:rFonts w:ascii="Aptos" w:hAnsi="Aptos"/>
                <w:sz w:val="14"/>
              </w:rPr>
              <w:t>Quantum learning</w:t>
            </w:r>
          </w:p>
        </w:tc>
        <w:tc>
          <w:tcPr>
            <w:tcW w:type="dxa" w:w="2556"/>
          </w:tcPr>
          <w:p>
            <w:pPr>
              <w:spacing w:after="20"/>
            </w:pPr>
            <w:r>
              <w:rPr>
                <w:rFonts w:ascii="Aptos" w:hAnsi="Aptos"/>
                <w:sz w:val="14"/>
              </w:rPr>
              <w:t>SDKs, circuit visualizers, classical simulator connectors</w:t>
            </w:r>
          </w:p>
        </w:tc>
        <w:tc>
          <w:tcPr>
            <w:tcW w:type="dxa" w:w="2556"/>
          </w:tcPr>
          <w:p>
            <w:pPr>
              <w:spacing w:after="20"/>
            </w:pPr>
            <w:r>
              <w:rPr>
                <w:rFonts w:ascii="Aptos" w:hAnsi="Aptos"/>
                <w:sz w:val="14"/>
              </w:rPr>
              <w:t>Remote QPU only if supported and authorized</w:t>
            </w:r>
          </w:p>
        </w:tc>
      </w:tr>
      <w:tr>
        <w:tc>
          <w:tcPr>
            <w:tcW w:type="dxa" w:w="2556"/>
          </w:tcPr>
          <w:p>
            <w:pPr>
              <w:spacing w:after="20"/>
            </w:pPr>
            <w:r>
              <w:rPr>
                <w:rFonts w:ascii="Aptos" w:hAnsi="Aptos"/>
                <w:sz w:val="14"/>
              </w:rPr>
              <w:t>QAI-Research</w:t>
            </w:r>
          </w:p>
        </w:tc>
        <w:tc>
          <w:tcPr>
            <w:tcW w:type="dxa" w:w="2556"/>
          </w:tcPr>
          <w:p>
            <w:pPr>
              <w:spacing w:after="20"/>
            </w:pPr>
            <w:r>
              <w:rPr>
                <w:rFonts w:ascii="Aptos" w:hAnsi="Aptos"/>
                <w:sz w:val="14"/>
              </w:rPr>
              <w:t>Advanced project work</w:t>
            </w:r>
          </w:p>
        </w:tc>
        <w:tc>
          <w:tcPr>
            <w:tcW w:type="dxa" w:w="2556"/>
          </w:tcPr>
          <w:p>
            <w:pPr>
              <w:spacing w:after="20"/>
            </w:pPr>
            <w:r>
              <w:rPr>
                <w:rFonts w:ascii="Aptos" w:hAnsi="Aptos"/>
                <w:sz w:val="14"/>
              </w:rPr>
              <w:t>Research tools, notebooks, experiment tracking</w:t>
            </w:r>
          </w:p>
        </w:tc>
        <w:tc>
          <w:tcPr>
            <w:tcW w:type="dxa" w:w="2556"/>
          </w:tcPr>
          <w:p>
            <w:pPr>
              <w:spacing w:after="20"/>
            </w:pPr>
            <w:r>
              <w:rPr>
                <w:rFonts w:ascii="Aptos" w:hAnsi="Aptos"/>
                <w:sz w:val="14"/>
              </w:rPr>
              <w:t>Project-specific data policy</w:t>
            </w:r>
          </w:p>
        </w:tc>
      </w:tr>
      <w:tr>
        <w:tc>
          <w:tcPr>
            <w:tcW w:type="dxa" w:w="2556"/>
          </w:tcPr>
          <w:p>
            <w:pPr>
              <w:spacing w:after="20"/>
            </w:pPr>
            <w:r>
              <w:rPr>
                <w:rFonts w:ascii="Aptos" w:hAnsi="Aptos"/>
                <w:sz w:val="14"/>
              </w:rPr>
              <w:t>QAI-Domain</w:t>
            </w:r>
          </w:p>
        </w:tc>
        <w:tc>
          <w:tcPr>
            <w:tcW w:type="dxa" w:w="2556"/>
          </w:tcPr>
          <w:p>
            <w:pPr>
              <w:spacing w:after="20"/>
            </w:pPr>
            <w:r>
              <w:rPr>
                <w:rFonts w:ascii="Aptos" w:hAnsi="Aptos"/>
                <w:sz w:val="14"/>
              </w:rPr>
              <w:t>Domain workflows e.g. Digital Farm</w:t>
            </w:r>
          </w:p>
        </w:tc>
        <w:tc>
          <w:tcPr>
            <w:tcW w:type="dxa" w:w="2556"/>
          </w:tcPr>
          <w:p>
            <w:pPr>
              <w:spacing w:after="20"/>
            </w:pPr>
            <w:r>
              <w:rPr>
                <w:rFonts w:ascii="Aptos" w:hAnsi="Aptos"/>
                <w:sz w:val="14"/>
              </w:rPr>
              <w:t>Approved domain apps, virtual assets, workflow clients</w:t>
            </w:r>
          </w:p>
        </w:tc>
        <w:tc>
          <w:tcPr>
            <w:tcW w:type="dxa" w:w="2556"/>
          </w:tcPr>
          <w:p>
            <w:pPr>
              <w:spacing w:after="20"/>
            </w:pPr>
            <w:r>
              <w:rPr>
                <w:rFonts w:ascii="Aptos" w:hAnsi="Aptos"/>
                <w:sz w:val="14"/>
              </w:rPr>
              <w:t>Expose only validated capabilities</w:t>
            </w:r>
          </w:p>
        </w:tc>
      </w:tr>
      <w:tr>
        <w:tc>
          <w:tcPr>
            <w:tcW w:type="dxa" w:w="2556"/>
          </w:tcPr>
          <w:p>
            <w:pPr>
              <w:spacing w:after="20"/>
            </w:pPr>
            <w:r>
              <w:rPr>
                <w:rFonts w:ascii="Aptos" w:hAnsi="Aptos"/>
                <w:sz w:val="14"/>
              </w:rPr>
              <w:t>QAI-Enterprise</w:t>
            </w:r>
          </w:p>
        </w:tc>
        <w:tc>
          <w:tcPr>
            <w:tcW w:type="dxa" w:w="2556"/>
          </w:tcPr>
          <w:p>
            <w:pPr>
              <w:spacing w:after="20"/>
            </w:pPr>
            <w:r>
              <w:rPr>
                <w:rFonts w:ascii="Aptos" w:hAnsi="Aptos"/>
                <w:sz w:val="14"/>
              </w:rPr>
              <w:t>Business/team workflows</w:t>
            </w:r>
          </w:p>
        </w:tc>
        <w:tc>
          <w:tcPr>
            <w:tcW w:type="dxa" w:w="2556"/>
          </w:tcPr>
          <w:p>
            <w:pPr>
              <w:spacing w:after="20"/>
            </w:pPr>
            <w:r>
              <w:rPr>
                <w:rFonts w:ascii="Aptos" w:hAnsi="Aptos"/>
                <w:sz w:val="14"/>
              </w:rPr>
              <w:t>Approved apps and integration clients</w:t>
            </w:r>
          </w:p>
        </w:tc>
        <w:tc>
          <w:tcPr>
            <w:tcW w:type="dxa" w:w="2556"/>
          </w:tcPr>
          <w:p>
            <w:pPr>
              <w:spacing w:after="20"/>
            </w:pPr>
            <w:r>
              <w:rPr>
                <w:rFonts w:ascii="Aptos" w:hAnsi="Aptos"/>
                <w:sz w:val="14"/>
              </w:rPr>
              <w:t>Identity, licensing, tenancy and client policy apply</w:t>
            </w:r>
          </w:p>
        </w:tc>
      </w:tr>
    </w:tbl>
    <w:p/>
    <w:p>
      <w:pPr>
        <w:spacing w:after="80"/>
      </w:pPr>
      <w:r>
        <w:t>Images should be versioned, integrity-checked, documented, tested, and published through a controlled catalogue. An image is a repeatable starting point, not proof of universal compatibility.</w:t>
      </w:r>
    </w:p>
    <w:p>
      <w:pPr>
        <w:pStyle w:val="Heading1"/>
      </w:pPr>
      <w:r>
        <w:t>6. Virtual desktop provisioning and release</w:t>
      </w:r>
    </w:p>
    <w:p>
      <w:pPr>
        <w:pStyle w:val="ListNumber"/>
        <w:spacing w:after="80"/>
      </w:pPr>
      <w:r>
        <w:t>Capture role, use case, location, duration, accessibility, data classification, and tools.</w:t>
      </w:r>
    </w:p>
    <w:p>
      <w:pPr>
        <w:pStyle w:val="ListNumber"/>
        <w:spacing w:after="80"/>
      </w:pPr>
      <w:r>
        <w:t>Select approved image and service combination; identify extensions or project configuration.</w:t>
      </w:r>
    </w:p>
    <w:p>
      <w:pPr>
        <w:pStyle w:val="ListNumber"/>
        <w:spacing w:after="80"/>
      </w:pPr>
      <w:r>
        <w:t>Assess OS/image version, architecture, identity, network, capacity, licensing, storage, and backend compatibility.</w:t>
      </w:r>
    </w:p>
    <w:p>
      <w:pPr>
        <w:pStyle w:val="ListNumber"/>
        <w:spacing w:after="80"/>
      </w:pPr>
      <w:r>
        <w:t>Approve user, project, usage limits, data access, and external connectivity.</w:t>
      </w:r>
    </w:p>
    <w:p>
      <w:pPr>
        <w:pStyle w:val="ListNumber"/>
        <w:spacing w:after="80"/>
      </w:pPr>
      <w:r>
        <w:t>Allocate desktop runtime and CPU/GPU/memory/storage quotas.</w:t>
      </w:r>
    </w:p>
    <w:p>
      <w:pPr>
        <w:pStyle w:val="ListNumber"/>
        <w:spacing w:after="80"/>
      </w:pPr>
      <w:r>
        <w:t>Connect approved Moodle/FAEP Academy, Git, Docker lab, notebooks, SaaS/PaaS, or compute services.</w:t>
      </w:r>
    </w:p>
    <w:p>
      <w:pPr>
        <w:pStyle w:val="ListNumber"/>
        <w:spacing w:after="80"/>
      </w:pPr>
      <w:r>
        <w:t>Validate health, access controls, sample workload, and deployment evidence.</w:t>
      </w:r>
    </w:p>
    <w:p>
      <w:pPr>
        <w:pStyle w:val="ListNumber"/>
        <w:spacing w:after="80"/>
      </w:pPr>
      <w:r>
        <w:t>Activate and provide access, support, and acceptable-use instructions.</w:t>
      </w:r>
    </w:p>
    <w:p>
      <w:pPr>
        <w:pStyle w:val="ListNumber"/>
        <w:spacing w:after="80"/>
      </w:pPr>
      <w:r>
        <w:t>Save approved work to workspace/repository and confirm save success.</w:t>
      </w:r>
    </w:p>
    <w:p>
      <w:pPr>
        <w:pStyle w:val="ListNumber"/>
        <w:spacing w:after="80"/>
      </w:pPr>
      <w:r>
        <w:t>Reset, suspend, or release; remove secrets and temporary state, release allocations, record result.</w:t>
      </w:r>
    </w:p>
    <w:p>
      <w:pPr>
        <w:pStyle w:val="ListNumber"/>
        <w:spacing w:after="80"/>
      </w:pPr>
      <w:r>
        <w:t>Test image updates, publish release notes, and retire unsupported versions through change control.</w:t>
      </w:r>
    </w:p>
    <w:p>
      <w:pPr>
        <w:pStyle w:val="Heading1"/>
      </w:pPr>
      <w:r>
        <w:t>7. Direct CPS deployment through the standard Operator</w:t>
      </w:r>
    </w:p>
    <w:p>
      <w:pPr>
        <w:pStyle w:val="ListNumber"/>
        <w:spacing w:after="80"/>
      </w:pPr>
      <w:r>
        <w:t>Discover infrastructure, identity, network, storage, compute, dependencies, constraints, and ownership.</w:t>
      </w:r>
    </w:p>
    <w:p>
      <w:pPr>
        <w:pStyle w:val="ListNumber"/>
        <w:spacing w:after="80"/>
      </w:pPr>
      <w:r>
        <w:t>Map the client problem to domain and technical capabilities; select necessary CPS modules.</w:t>
      </w:r>
    </w:p>
    <w:p>
      <w:pPr>
        <w:pStyle w:val="ListNumber"/>
        <w:spacing w:after="80"/>
      </w:pPr>
      <w:r>
        <w:t>Register eligible resources and interfaces; registration alone does not grant execution permission.</w:t>
      </w:r>
    </w:p>
    <w:p>
      <w:pPr>
        <w:pStyle w:val="ListNumber"/>
        <w:spacing w:after="80"/>
      </w:pPr>
      <w:r>
        <w:t>Assess dependencies, compatibility, security, capacity, cost, data boundaries, and rollback.</w:t>
      </w:r>
    </w:p>
    <w:p>
      <w:pPr>
        <w:pStyle w:val="ListNumber"/>
        <w:spacing w:after="80"/>
      </w:pPr>
      <w:r>
        <w:t>Generate a reviewable plan with approvals and acceptance criteria.</w:t>
      </w:r>
    </w:p>
    <w:p>
      <w:pPr>
        <w:pStyle w:val="ListNumber"/>
        <w:spacing w:after="80"/>
      </w:pPr>
      <w:r>
        <w:t>Execute only the approved plan through supported adapters.</w:t>
      </w:r>
    </w:p>
    <w:p>
      <w:pPr>
        <w:pStyle w:val="ListNumber"/>
        <w:spacing w:after="80"/>
      </w:pPr>
      <w:r>
        <w:t>Validate state, run bounded tests, and capture versions, outcomes, logs, and exceptions.</w:t>
      </w:r>
    </w:p>
    <w:p>
      <w:pPr>
        <w:pStyle w:val="ListNumber"/>
        <w:spacing w:after="80"/>
      </w:pPr>
      <w:r>
        <w:t>Hand over procedures, ownership, support boundaries, updates, and retirement process.</w:t>
      </w:r>
    </w:p>
    <w:p>
      <w:pPr>
        <w:spacing w:after="80"/>
      </w:pPr>
      <w:r>
        <w:t>Confirm current Operator capabilities against repository implementation and acceptance tests. Unimplemented steps remain planned work, not production-ready claims.</w:t>
      </w:r>
    </w:p>
    <w:p>
      <w:pPr>
        <w:pStyle w:val="Heading1"/>
      </w:pPr>
      <w:r>
        <w:t>8. Choosing the service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sz w:val="15"/>
              </w:rPr>
              <w:t>Option</w:t>
            </w:r>
          </w:p>
        </w:tc>
        <w:tc>
          <w:tcPr>
            <w:tcW w:type="dxa" w:w="2556"/>
            <w:shd w:fill="D9EAF7"/>
          </w:tcPr>
          <w:p>
            <w:r>
              <w:rPr>
                <w:b/>
                <w:sz w:val="15"/>
              </w:rPr>
              <w:t>What client accesses</w:t>
            </w:r>
          </w:p>
        </w:tc>
        <w:tc>
          <w:tcPr>
            <w:tcW w:type="dxa" w:w="2556"/>
            <w:shd w:fill="D9EAF7"/>
          </w:tcPr>
          <w:p>
            <w:r>
              <w:rPr>
                <w:b/>
                <w:sz w:val="15"/>
              </w:rPr>
              <w:t>Good fit</w:t>
            </w:r>
          </w:p>
        </w:tc>
        <w:tc>
          <w:tcPr>
            <w:tcW w:type="dxa" w:w="2556"/>
            <w:shd w:fill="D9EAF7"/>
          </w:tcPr>
          <w:p>
            <w:r>
              <w:rPr>
                <w:b/>
                <w:sz w:val="15"/>
              </w:rPr>
              <w:t>Deployment note</w:t>
            </w:r>
          </w:p>
        </w:tc>
      </w:tr>
      <w:tr>
        <w:tc>
          <w:tcPr>
            <w:tcW w:type="dxa" w:w="2556"/>
          </w:tcPr>
          <w:p>
            <w:pPr>
              <w:spacing w:after="20"/>
            </w:pPr>
            <w:r>
              <w:rPr>
                <w:rFonts w:ascii="Aptos" w:hAnsi="Aptos"/>
                <w:sz w:val="14"/>
              </w:rPr>
              <w:t>QAI Lab as a Service</w:t>
            </w:r>
          </w:p>
        </w:tc>
        <w:tc>
          <w:tcPr>
            <w:tcW w:type="dxa" w:w="2556"/>
          </w:tcPr>
          <w:p>
            <w:pPr>
              <w:spacing w:after="20"/>
            </w:pPr>
            <w:r>
              <w:rPr>
                <w:rFonts w:ascii="Aptos" w:hAnsi="Aptos"/>
                <w:sz w:val="14"/>
              </w:rPr>
              <w:t>Experimentation, simulation/emulation, development, validation</w:t>
            </w:r>
          </w:p>
        </w:tc>
        <w:tc>
          <w:tcPr>
            <w:tcW w:type="dxa" w:w="2556"/>
          </w:tcPr>
          <w:p>
            <w:pPr>
              <w:spacing w:after="20"/>
            </w:pPr>
            <w:r>
              <w:rPr>
                <w:rFonts w:ascii="Aptos" w:hAnsi="Aptos"/>
                <w:sz w:val="14"/>
              </w:rPr>
              <w:t>Learn, test hypotheses, prototype</w:t>
            </w:r>
          </w:p>
        </w:tc>
        <w:tc>
          <w:tcPr>
            <w:tcW w:type="dxa" w:w="2556"/>
          </w:tcPr>
          <w:p>
            <w:pPr>
              <w:spacing w:after="20"/>
            </w:pPr>
            <w:r>
              <w:rPr>
                <w:rFonts w:ascii="Aptos" w:hAnsi="Aptos"/>
                <w:sz w:val="14"/>
              </w:rPr>
              <w:t>Classical baselines first; quantum execution optional and evidence-dependent</w:t>
            </w:r>
          </w:p>
        </w:tc>
      </w:tr>
      <w:tr>
        <w:tc>
          <w:tcPr>
            <w:tcW w:type="dxa" w:w="2556"/>
          </w:tcPr>
          <w:p>
            <w:pPr>
              <w:spacing w:after="20"/>
            </w:pPr>
            <w:r>
              <w:rPr>
                <w:rFonts w:ascii="Aptos" w:hAnsi="Aptos"/>
                <w:sz w:val="14"/>
              </w:rPr>
              <w:t>SaaS</w:t>
            </w:r>
          </w:p>
        </w:tc>
        <w:tc>
          <w:tcPr>
            <w:tcW w:type="dxa" w:w="2556"/>
          </w:tcPr>
          <w:p>
            <w:pPr>
              <w:spacing w:after="20"/>
            </w:pPr>
            <w:r>
              <w:rPr>
                <w:rFonts w:ascii="Aptos" w:hAnsi="Aptos"/>
                <w:sz w:val="14"/>
              </w:rPr>
              <w:t>Ready-to-use domain apps, workflows, analytics</w:t>
            </w:r>
          </w:p>
        </w:tc>
        <w:tc>
          <w:tcPr>
            <w:tcW w:type="dxa" w:w="2556"/>
          </w:tcPr>
          <w:p>
            <w:pPr>
              <w:spacing w:after="20"/>
            </w:pPr>
            <w:r>
              <w:rPr>
                <w:rFonts w:ascii="Aptos" w:hAnsi="Aptos"/>
                <w:sz w:val="14"/>
              </w:rPr>
              <w:t>Use a capability rather than build it</w:t>
            </w:r>
          </w:p>
        </w:tc>
        <w:tc>
          <w:tcPr>
            <w:tcW w:type="dxa" w:w="2556"/>
          </w:tcPr>
          <w:p>
            <w:pPr>
              <w:spacing w:after="20"/>
            </w:pPr>
            <w:r>
              <w:rPr>
                <w:rFonts w:ascii="Aptos" w:hAnsi="Aptos"/>
                <w:sz w:val="14"/>
              </w:rPr>
              <w:t>Configure tenant, roles, data, limits and support</w:t>
            </w:r>
          </w:p>
        </w:tc>
      </w:tr>
      <w:tr>
        <w:tc>
          <w:tcPr>
            <w:tcW w:type="dxa" w:w="2556"/>
          </w:tcPr>
          <w:p>
            <w:pPr>
              <w:spacing w:after="20"/>
            </w:pPr>
            <w:r>
              <w:rPr>
                <w:rFonts w:ascii="Aptos" w:hAnsi="Aptos"/>
                <w:sz w:val="14"/>
              </w:rPr>
              <w:t>PaaS</w:t>
            </w:r>
          </w:p>
        </w:tc>
        <w:tc>
          <w:tcPr>
            <w:tcW w:type="dxa" w:w="2556"/>
          </w:tcPr>
          <w:p>
            <w:pPr>
              <w:spacing w:after="20"/>
            </w:pPr>
            <w:r>
              <w:rPr>
                <w:rFonts w:ascii="Aptos" w:hAnsi="Aptos"/>
                <w:sz w:val="14"/>
              </w:rPr>
              <w:t>APIs, CPS modelling, data integration, workflows, deployment interfaces</w:t>
            </w:r>
          </w:p>
        </w:tc>
        <w:tc>
          <w:tcPr>
            <w:tcW w:type="dxa" w:w="2556"/>
          </w:tcPr>
          <w:p>
            <w:pPr>
              <w:spacing w:after="20"/>
            </w:pPr>
            <w:r>
              <w:rPr>
                <w:rFonts w:ascii="Aptos" w:hAnsi="Aptos"/>
                <w:sz w:val="14"/>
              </w:rPr>
              <w:t>Build/customize products</w:t>
            </w:r>
          </w:p>
        </w:tc>
        <w:tc>
          <w:tcPr>
            <w:tcW w:type="dxa" w:w="2556"/>
          </w:tcPr>
          <w:p>
            <w:pPr>
              <w:spacing w:after="20"/>
            </w:pPr>
            <w:r>
              <w:rPr>
                <w:rFonts w:ascii="Aptos" w:hAnsi="Aptos"/>
                <w:sz w:val="14"/>
              </w:rPr>
              <w:t>Use supported interfaces and versioned environments</w:t>
            </w:r>
          </w:p>
        </w:tc>
      </w:tr>
      <w:tr>
        <w:tc>
          <w:tcPr>
            <w:tcW w:type="dxa" w:w="2556"/>
          </w:tcPr>
          <w:p>
            <w:pPr>
              <w:spacing w:after="20"/>
            </w:pPr>
            <w:r>
              <w:rPr>
                <w:rFonts w:ascii="Aptos" w:hAnsi="Aptos"/>
                <w:sz w:val="14"/>
              </w:rPr>
              <w:t>IaaS-style access</w:t>
            </w:r>
          </w:p>
        </w:tc>
        <w:tc>
          <w:tcPr>
            <w:tcW w:type="dxa" w:w="2556"/>
          </w:tcPr>
          <w:p>
            <w:pPr>
              <w:spacing w:after="20"/>
            </w:pPr>
            <w:r>
              <w:rPr>
                <w:rFonts w:ascii="Aptos" w:hAnsi="Aptos"/>
                <w:sz w:val="14"/>
              </w:rPr>
              <w:t>Approved compute, storage, network and execution environments</w:t>
            </w:r>
          </w:p>
        </w:tc>
        <w:tc>
          <w:tcPr>
            <w:tcW w:type="dxa" w:w="2556"/>
          </w:tcPr>
          <w:p>
            <w:pPr>
              <w:spacing w:after="20"/>
            </w:pPr>
            <w:r>
              <w:rPr>
                <w:rFonts w:ascii="Aptos" w:hAnsi="Aptos"/>
                <w:sz w:val="14"/>
              </w:rPr>
              <w:t>Control workloads without owning all physical assets</w:t>
            </w:r>
          </w:p>
        </w:tc>
        <w:tc>
          <w:tcPr>
            <w:tcW w:type="dxa" w:w="2556"/>
          </w:tcPr>
          <w:p>
            <w:pPr>
              <w:spacing w:after="20"/>
            </w:pPr>
            <w:r>
              <w:rPr>
                <w:rFonts w:ascii="Aptos" w:hAnsi="Aptos"/>
                <w:sz w:val="14"/>
              </w:rPr>
              <w:t>Specify availability, quotas, isolation, responsibilities</w:t>
            </w:r>
          </w:p>
        </w:tc>
      </w:tr>
      <w:tr>
        <w:tc>
          <w:tcPr>
            <w:tcW w:type="dxa" w:w="2556"/>
          </w:tcPr>
          <w:p>
            <w:pPr>
              <w:spacing w:after="20"/>
            </w:pPr>
            <w:r>
              <w:rPr>
                <w:rFonts w:ascii="Aptos" w:hAnsi="Aptos"/>
                <w:sz w:val="14"/>
              </w:rPr>
              <w:t>QAI-DCaaS</w:t>
            </w:r>
          </w:p>
        </w:tc>
        <w:tc>
          <w:tcPr>
            <w:tcW w:type="dxa" w:w="2556"/>
          </w:tcPr>
          <w:p>
            <w:pPr>
              <w:spacing w:after="20"/>
            </w:pPr>
            <w:r>
              <w:rPr>
                <w:rFonts w:ascii="Aptos" w:hAnsi="Aptos"/>
                <w:sz w:val="14"/>
              </w:rPr>
              <w:t>Coordinated resources, deployment/integration and lifecycle management</w:t>
            </w:r>
          </w:p>
        </w:tc>
        <w:tc>
          <w:tcPr>
            <w:tcW w:type="dxa" w:w="2556"/>
          </w:tcPr>
          <w:p>
            <w:pPr>
              <w:spacing w:after="20"/>
            </w:pPr>
            <w:r>
              <w:rPr>
                <w:rFonts w:ascii="Aptos" w:hAnsi="Aptos"/>
                <w:sz w:val="14"/>
              </w:rPr>
              <w:t>Work across client, colocation, cloud, HPC or supported quantum resources</w:t>
            </w:r>
          </w:p>
        </w:tc>
        <w:tc>
          <w:tcPr>
            <w:tcW w:type="dxa" w:w="2556"/>
          </w:tcPr>
          <w:p>
            <w:pPr>
              <w:spacing w:after="20"/>
            </w:pPr>
            <w:r>
              <w:rPr>
                <w:rFonts w:ascii="Aptos" w:hAnsi="Aptos"/>
                <w:sz w:val="14"/>
              </w:rPr>
              <w:t>Does not promise supply of all physical DC or quantum hardware</w:t>
            </w:r>
          </w:p>
        </w:tc>
      </w:tr>
    </w:tbl>
    <w:p/>
    <w:p>
      <w:pPr>
        <w:spacing w:after="80"/>
      </w:pPr>
      <w:r>
        <w:t>These are service dimensions, not mutually exclusive products. A desktop can combine with PaaS and QAI Lab; direct CPS can combine with SaaS and approved infrastructure access.</w:t>
      </w:r>
    </w:p>
    <w:p>
      <w:pPr>
        <w:pStyle w:val="Heading1"/>
      </w:pPr>
      <w:r>
        <w:t>9. Connectivity, hosting and data locality</w:t>
      </w:r>
    </w:p>
    <w:p>
      <w:pPr>
        <w:pStyle w:val="ListBullet"/>
        <w:spacing w:after="80"/>
      </w:pPr>
      <w:r>
        <w:t>Possible networks: wired Ethernet, approved Wi-Fi, private campus networks, segmented enterprise networks, and permitted hotspots.</w:t>
      </w:r>
    </w:p>
    <w:p>
      <w:pPr>
        <w:pStyle w:val="ListBullet"/>
        <w:spacing w:after="80"/>
      </w:pPr>
      <w:r>
        <w:t>Possible execution locations: client endpoints, institutional servers, client data centres, colocation, public cloud, HPC, simulators, and supported remote quantum services.</w:t>
      </w:r>
    </w:p>
    <w:p>
      <w:pPr>
        <w:pStyle w:val="ListBullet"/>
        <w:spacing w:after="80"/>
      </w:pPr>
      <w:r>
        <w:t>Select location per workload and data classification; do not assume all workloads should move centrally.</w:t>
      </w:r>
    </w:p>
    <w:p>
      <w:pPr>
        <w:pStyle w:val="ListBullet"/>
        <w:spacing w:after="80"/>
      </w:pPr>
      <w:r>
        <w:t>Define data that remain local, allowed operational metadata, log location, and permitted outputs.</w:t>
      </w:r>
    </w:p>
    <w:p>
      <w:pPr>
        <w:pStyle w:val="ListBullet"/>
        <w:spacing w:after="80"/>
      </w:pPr>
      <w:r>
        <w:t>Use secure identity, least privilege, approved routes, short-lived credentials, audit logs, and documented retention.</w:t>
      </w:r>
    </w:p>
    <w:p>
      <w:pPr>
        <w:pStyle w:val="ListBullet"/>
        <w:spacing w:after="80"/>
      </w:pPr>
      <w:r>
        <w:t>Public terminals require session isolation, credential cleanup, host restrictions, quotas, and verified reset.</w:t>
      </w:r>
    </w:p>
    <w:p>
      <w:pPr>
        <w:pStyle w:val="ListBullet"/>
        <w:spacing w:after="80"/>
      </w:pPr>
      <w:r>
        <w:t>Allocation, actual consumption, billable usage, and energy/water impact are distinct measurements.</w:t>
      </w:r>
    </w:p>
    <w:p>
      <w:pPr>
        <w:pStyle w:val="Heading1"/>
      </w:pPr>
      <w:r>
        <w:t>10. Commercial and operating model</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5"/>
              </w:rPr>
              <w:t>Offer</w:t>
            </w:r>
          </w:p>
        </w:tc>
        <w:tc>
          <w:tcPr>
            <w:tcW w:type="dxa" w:w="3408"/>
            <w:shd w:fill="D9EAF7"/>
          </w:tcPr>
          <w:p>
            <w:r>
              <w:rPr>
                <w:b/>
                <w:sz w:val="15"/>
              </w:rPr>
              <w:t>Possible charging basis</w:t>
            </w:r>
          </w:p>
        </w:tc>
        <w:tc>
          <w:tcPr>
            <w:tcW w:type="dxa" w:w="3408"/>
            <w:shd w:fill="D9EAF7"/>
          </w:tcPr>
          <w:p>
            <w:r>
              <w:rPr>
                <w:b/>
                <w:sz w:val="15"/>
              </w:rPr>
              <w:t>Cost elements to disclose</w:t>
            </w:r>
          </w:p>
        </w:tc>
      </w:tr>
      <w:tr>
        <w:tc>
          <w:tcPr>
            <w:tcW w:type="dxa" w:w="3408"/>
          </w:tcPr>
          <w:p>
            <w:pPr>
              <w:spacing w:after="20"/>
            </w:pPr>
            <w:r>
              <w:rPr>
                <w:rFonts w:ascii="Aptos" w:hAnsi="Aptos"/>
                <w:sz w:val="14"/>
              </w:rPr>
              <w:t>Ready-to-use desktop</w:t>
            </w:r>
          </w:p>
        </w:tc>
        <w:tc>
          <w:tcPr>
            <w:tcW w:type="dxa" w:w="3408"/>
          </w:tcPr>
          <w:p>
            <w:pPr>
              <w:spacing w:after="20"/>
            </w:pPr>
            <w:r>
              <w:rPr>
                <w:rFonts w:ascii="Aptos" w:hAnsi="Aptos"/>
                <w:sz w:val="14"/>
              </w:rPr>
              <w:t>Per user, session, subscription, institution agreement</w:t>
            </w:r>
          </w:p>
        </w:tc>
        <w:tc>
          <w:tcPr>
            <w:tcW w:type="dxa" w:w="3408"/>
          </w:tcPr>
          <w:p>
            <w:pPr>
              <w:spacing w:after="20"/>
            </w:pPr>
            <w:r>
              <w:rPr>
                <w:rFonts w:ascii="Aptos" w:hAnsi="Aptos"/>
                <w:sz w:val="14"/>
              </w:rPr>
              <w:t>Image maintenance, hosting, storage, identity, support, third-party licences</w:t>
            </w:r>
          </w:p>
        </w:tc>
      </w:tr>
      <w:tr>
        <w:tc>
          <w:tcPr>
            <w:tcW w:type="dxa" w:w="3408"/>
          </w:tcPr>
          <w:p>
            <w:pPr>
              <w:spacing w:after="20"/>
            </w:pPr>
            <w:r>
              <w:rPr>
                <w:rFonts w:ascii="Aptos" w:hAnsi="Aptos"/>
                <w:sz w:val="14"/>
              </w:rPr>
              <w:t>Research / compute access</w:t>
            </w:r>
          </w:p>
        </w:tc>
        <w:tc>
          <w:tcPr>
            <w:tcW w:type="dxa" w:w="3408"/>
          </w:tcPr>
          <w:p>
            <w:pPr>
              <w:spacing w:after="20"/>
            </w:pPr>
            <w:r>
              <w:rPr>
                <w:rFonts w:ascii="Aptos" w:hAnsi="Aptos"/>
                <w:sz w:val="14"/>
              </w:rPr>
              <w:t>Usage, subscription, project allocation</w:t>
            </w:r>
          </w:p>
        </w:tc>
        <w:tc>
          <w:tcPr>
            <w:tcW w:type="dxa" w:w="3408"/>
          </w:tcPr>
          <w:p>
            <w:pPr>
              <w:spacing w:after="20"/>
            </w:pPr>
            <w:r>
              <w:rPr>
                <w:rFonts w:ascii="Aptos" w:hAnsi="Aptos"/>
                <w:sz w:val="14"/>
              </w:rPr>
              <w:t>CPU/GPU/HPC/QPU, storage, transfer, queueing, monitoring, pass-throughs</w:t>
            </w:r>
          </w:p>
        </w:tc>
      </w:tr>
      <w:tr>
        <w:tc>
          <w:tcPr>
            <w:tcW w:type="dxa" w:w="3408"/>
          </w:tcPr>
          <w:p>
            <w:pPr>
              <w:spacing w:after="20"/>
            </w:pPr>
            <w:r>
              <w:rPr>
                <w:rFonts w:ascii="Aptos" w:hAnsi="Aptos"/>
                <w:sz w:val="14"/>
              </w:rPr>
              <w:t>Direct CPS deployment</w:t>
            </w:r>
          </w:p>
        </w:tc>
        <w:tc>
          <w:tcPr>
            <w:tcW w:type="dxa" w:w="3408"/>
          </w:tcPr>
          <w:p>
            <w:pPr>
              <w:spacing w:after="20"/>
            </w:pPr>
            <w:r>
              <w:rPr>
                <w:rFonts w:ascii="Aptos" w:hAnsi="Aptos"/>
                <w:sz w:val="14"/>
              </w:rPr>
              <w:t>Assessment and engineering work packages</w:t>
            </w:r>
          </w:p>
        </w:tc>
        <w:tc>
          <w:tcPr>
            <w:tcW w:type="dxa" w:w="3408"/>
          </w:tcPr>
          <w:p>
            <w:pPr>
              <w:spacing w:after="20"/>
            </w:pPr>
            <w:r>
              <w:rPr>
                <w:rFonts w:ascii="Aptos" w:hAnsi="Aptos"/>
                <w:sz w:val="14"/>
              </w:rPr>
              <w:t>Discovery, architecture, integration, testing, security review, documentation</w:t>
            </w:r>
          </w:p>
        </w:tc>
      </w:tr>
      <w:tr>
        <w:tc>
          <w:tcPr>
            <w:tcW w:type="dxa" w:w="3408"/>
          </w:tcPr>
          <w:p>
            <w:pPr>
              <w:spacing w:after="20"/>
            </w:pPr>
            <w:r>
              <w:rPr>
                <w:rFonts w:ascii="Aptos" w:hAnsi="Aptos"/>
                <w:sz w:val="14"/>
              </w:rPr>
              <w:t>Guided deployment</w:t>
            </w:r>
          </w:p>
        </w:tc>
        <w:tc>
          <w:tcPr>
            <w:tcW w:type="dxa" w:w="3408"/>
          </w:tcPr>
          <w:p>
            <w:pPr>
              <w:spacing w:after="20"/>
            </w:pPr>
            <w:r>
              <w:rPr>
                <w:rFonts w:ascii="Aptos" w:hAnsi="Aptos"/>
                <w:sz w:val="14"/>
              </w:rPr>
              <w:t>Fixed-scope assessment plus milestones</w:t>
            </w:r>
          </w:p>
        </w:tc>
        <w:tc>
          <w:tcPr>
            <w:tcW w:type="dxa" w:w="3408"/>
          </w:tcPr>
          <w:p>
            <w:pPr>
              <w:spacing w:after="20"/>
            </w:pPr>
            <w:r>
              <w:rPr>
                <w:rFonts w:ascii="Aptos" w:hAnsi="Aptos"/>
                <w:sz w:val="14"/>
              </w:rPr>
              <w:t>Scope, client responsibilities, site costs if applicable, change requests</w:t>
            </w:r>
          </w:p>
        </w:tc>
      </w:tr>
      <w:tr>
        <w:tc>
          <w:tcPr>
            <w:tcW w:type="dxa" w:w="3408"/>
          </w:tcPr>
          <w:p>
            <w:pPr>
              <w:spacing w:after="20"/>
            </w:pPr>
            <w:r>
              <w:rPr>
                <w:rFonts w:ascii="Aptos" w:hAnsi="Aptos"/>
                <w:sz w:val="14"/>
              </w:rPr>
              <w:t>Managed QAI-DCaaS</w:t>
            </w:r>
          </w:p>
        </w:tc>
        <w:tc>
          <w:tcPr>
            <w:tcW w:type="dxa" w:w="3408"/>
          </w:tcPr>
          <w:p>
            <w:pPr>
              <w:spacing w:after="20"/>
            </w:pPr>
            <w:r>
              <w:rPr>
                <w:rFonts w:ascii="Aptos" w:hAnsi="Aptos"/>
                <w:sz w:val="14"/>
              </w:rPr>
              <w:t>Recurring fee plus consumption where applicable</w:t>
            </w:r>
          </w:p>
        </w:tc>
        <w:tc>
          <w:tcPr>
            <w:tcW w:type="dxa" w:w="3408"/>
          </w:tcPr>
          <w:p>
            <w:pPr>
              <w:spacing w:after="20"/>
            </w:pPr>
            <w:r>
              <w:rPr>
                <w:rFonts w:ascii="Aptos" w:hAnsi="Aptos"/>
                <w:sz w:val="14"/>
              </w:rPr>
              <w:t>Monitoring, support, reservation, usage, incident response, lifecycle and external dependencies</w:t>
            </w:r>
          </w:p>
        </w:tc>
      </w:tr>
    </w:tbl>
    <w:p/>
    <w:p>
      <w:pPr>
        <w:spacing w:after="80"/>
      </w:pPr>
      <w:r>
        <w:t>Set pricing and service levels only after costs, boundaries, capacity, support obligations, and third-party terms are understood. Savings, financial returns, and quantum advantage are not guaranteed.</w:t>
      </w:r>
    </w:p>
    <w:p>
      <w:pPr>
        <w:pStyle w:val="Heading1"/>
      </w:pPr>
      <w:r>
        <w:t>11. VS Code / repository implementation plan</w:t>
      </w:r>
    </w:p>
    <w:p>
      <w:pPr>
        <w:spacing w:after="80"/>
      </w:pPr>
      <w:r>
        <w:t>Inspect the existing QAI Deployment Operator, QAI Hub, virtual CPS/assets, QAI-DCaaS, learning services, monitoring, and evidence. Extend existing contracts where suitable; do not create duplicate frameworks or folders just to mirror this document.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5"/>
              </w:rPr>
              <w:t>Work package</w:t>
            </w:r>
          </w:p>
        </w:tc>
        <w:tc>
          <w:tcPr>
            <w:tcW w:type="dxa" w:w="3408"/>
            <w:shd w:fill="D9EAF7"/>
          </w:tcPr>
          <w:p>
            <w:r>
              <w:rPr>
                <w:b/>
                <w:sz w:val="15"/>
              </w:rPr>
              <w:t>Task</w:t>
            </w:r>
          </w:p>
        </w:tc>
        <w:tc>
          <w:tcPr>
            <w:tcW w:type="dxa" w:w="3408"/>
            <w:shd w:fill="D9EAF7"/>
          </w:tcPr>
          <w:p>
            <w:r>
              <w:rPr>
                <w:b/>
                <w:sz w:val="15"/>
              </w:rPr>
              <w:t>Acceptance evidence</w:t>
            </w:r>
          </w:p>
        </w:tc>
      </w:tr>
      <w:tr>
        <w:tc>
          <w:tcPr>
            <w:tcW w:type="dxa" w:w="3408"/>
          </w:tcPr>
          <w:p>
            <w:pPr>
              <w:spacing w:after="20"/>
            </w:pPr>
            <w:r>
              <w:rPr>
                <w:rFonts w:ascii="Aptos" w:hAnsi="Aptos"/>
                <w:sz w:val="14"/>
              </w:rPr>
              <w:t>WP1 Discovery</w:t>
            </w:r>
          </w:p>
        </w:tc>
        <w:tc>
          <w:tcPr>
            <w:tcW w:type="dxa" w:w="3408"/>
          </w:tcPr>
          <w:p>
            <w:pPr>
              <w:spacing w:after="20"/>
            </w:pPr>
            <w:r>
              <w:rPr>
                <w:rFonts w:ascii="Aptos" w:hAnsi="Aptos"/>
                <w:sz w:val="14"/>
              </w:rPr>
              <w:t>Inventory modules, schemas, profiles, adapters, tests and gaps</w:t>
            </w:r>
          </w:p>
        </w:tc>
        <w:tc>
          <w:tcPr>
            <w:tcW w:type="dxa" w:w="3408"/>
          </w:tcPr>
          <w:p>
            <w:pPr>
              <w:spacing w:after="20"/>
            </w:pPr>
            <w:r>
              <w:rPr>
                <w:rFonts w:ascii="Aptos" w:hAnsi="Aptos"/>
                <w:sz w:val="14"/>
              </w:rPr>
              <w:t>Repository map and gap register</w:t>
            </w:r>
          </w:p>
        </w:tc>
      </w:tr>
      <w:tr>
        <w:tc>
          <w:tcPr>
            <w:tcW w:type="dxa" w:w="3408"/>
          </w:tcPr>
          <w:p>
            <w:pPr>
              <w:spacing w:after="20"/>
            </w:pPr>
            <w:r>
              <w:rPr>
                <w:rFonts w:ascii="Aptos" w:hAnsi="Aptos"/>
                <w:sz w:val="14"/>
              </w:rPr>
              <w:t>WP2 Profile contract</w:t>
            </w:r>
          </w:p>
        </w:tc>
        <w:tc>
          <w:tcPr>
            <w:tcW w:type="dxa" w:w="3408"/>
          </w:tcPr>
          <w:p>
            <w:pPr>
              <w:spacing w:after="20"/>
            </w:pPr>
            <w:r>
              <w:rPr>
                <w:rFonts w:ascii="Aptos" w:hAnsi="Aptos"/>
                <w:sz w:val="14"/>
              </w:rPr>
              <w:t>Define desktop/direct-CPS profiles, versions, prerequisites, limits and dependencies</w:t>
            </w:r>
          </w:p>
        </w:tc>
        <w:tc>
          <w:tcPr>
            <w:tcW w:type="dxa" w:w="3408"/>
          </w:tcPr>
          <w:p>
            <w:pPr>
              <w:spacing w:after="20"/>
            </w:pPr>
            <w:r>
              <w:rPr>
                <w:rFonts w:ascii="Aptos" w:hAnsi="Aptos"/>
                <w:sz w:val="14"/>
              </w:rPr>
              <w:t>Schema tests and example profiles</w:t>
            </w:r>
          </w:p>
        </w:tc>
      </w:tr>
      <w:tr>
        <w:tc>
          <w:tcPr>
            <w:tcW w:type="dxa" w:w="3408"/>
          </w:tcPr>
          <w:p>
            <w:pPr>
              <w:spacing w:after="20"/>
            </w:pPr>
            <w:r>
              <w:rPr>
                <w:rFonts w:ascii="Aptos" w:hAnsi="Aptos"/>
                <w:sz w:val="14"/>
              </w:rPr>
              <w:t>WP3 Lifecycle</w:t>
            </w:r>
          </w:p>
        </w:tc>
        <w:tc>
          <w:tcPr>
            <w:tcW w:type="dxa" w:w="3408"/>
          </w:tcPr>
          <w:p>
            <w:pPr>
              <w:spacing w:after="20"/>
            </w:pPr>
            <w:r>
              <w:rPr>
                <w:rFonts w:ascii="Aptos" w:hAnsi="Aptos"/>
                <w:sz w:val="14"/>
              </w:rPr>
              <w:t>Define states, transitions, approvals, retries, rollback and release</w:t>
            </w:r>
          </w:p>
        </w:tc>
        <w:tc>
          <w:tcPr>
            <w:tcW w:type="dxa" w:w="3408"/>
          </w:tcPr>
          <w:p>
            <w:pPr>
              <w:spacing w:after="20"/>
            </w:pPr>
            <w:r>
              <w:rPr>
                <w:rFonts w:ascii="Aptos" w:hAnsi="Aptos"/>
                <w:sz w:val="14"/>
              </w:rPr>
              <w:t>Transition and failure tests</w:t>
            </w:r>
          </w:p>
        </w:tc>
      </w:tr>
      <w:tr>
        <w:tc>
          <w:tcPr>
            <w:tcW w:type="dxa" w:w="3408"/>
          </w:tcPr>
          <w:p>
            <w:pPr>
              <w:spacing w:after="20"/>
            </w:pPr>
            <w:r>
              <w:rPr>
                <w:rFonts w:ascii="Aptos" w:hAnsi="Aptos"/>
                <w:sz w:val="14"/>
              </w:rPr>
              <w:t>WP4 Image path</w:t>
            </w:r>
          </w:p>
        </w:tc>
        <w:tc>
          <w:tcPr>
            <w:tcW w:type="dxa" w:w="3408"/>
          </w:tcPr>
          <w:p>
            <w:pPr>
              <w:spacing w:after="20"/>
            </w:pPr>
            <w:r>
              <w:rPr>
                <w:rFonts w:ascii="Aptos" w:hAnsi="Aptos"/>
                <w:sz w:val="14"/>
              </w:rPr>
              <w:t>Provision test desktop and connect learning/development services</w:t>
            </w:r>
          </w:p>
        </w:tc>
        <w:tc>
          <w:tcPr>
            <w:tcW w:type="dxa" w:w="3408"/>
          </w:tcPr>
          <w:p>
            <w:pPr>
              <w:spacing w:after="20"/>
            </w:pPr>
            <w:r>
              <w:rPr>
                <w:rFonts w:ascii="Aptos" w:hAnsi="Aptos"/>
                <w:sz w:val="14"/>
              </w:rPr>
              <w:t>Repeatable setup and isolation test</w:t>
            </w:r>
          </w:p>
        </w:tc>
      </w:tr>
      <w:tr>
        <w:tc>
          <w:tcPr>
            <w:tcW w:type="dxa" w:w="3408"/>
          </w:tcPr>
          <w:p>
            <w:pPr>
              <w:spacing w:after="20"/>
            </w:pPr>
            <w:r>
              <w:rPr>
                <w:rFonts w:ascii="Aptos" w:hAnsi="Aptos"/>
                <w:sz w:val="14"/>
              </w:rPr>
              <w:t>WP5 Direct path</w:t>
            </w:r>
          </w:p>
        </w:tc>
        <w:tc>
          <w:tcPr>
            <w:tcW w:type="dxa" w:w="3408"/>
          </w:tcPr>
          <w:p>
            <w:pPr>
              <w:spacing w:after="20"/>
            </w:pPr>
            <w:r>
              <w:rPr>
                <w:rFonts w:ascii="Aptos" w:hAnsi="Aptos"/>
                <w:sz w:val="14"/>
              </w:rPr>
              <w:t>Deploy minimum CPS configuration through Operator</w:t>
            </w:r>
          </w:p>
        </w:tc>
        <w:tc>
          <w:tcPr>
            <w:tcW w:type="dxa" w:w="3408"/>
          </w:tcPr>
          <w:p>
            <w:pPr>
              <w:spacing w:after="20"/>
            </w:pPr>
            <w:r>
              <w:rPr>
                <w:rFonts w:ascii="Aptos" w:hAnsi="Aptos"/>
                <w:sz w:val="14"/>
              </w:rPr>
              <w:t>Plan, approval, deployment and validation evidence</w:t>
            </w:r>
          </w:p>
        </w:tc>
      </w:tr>
      <w:tr>
        <w:tc>
          <w:tcPr>
            <w:tcW w:type="dxa" w:w="3408"/>
          </w:tcPr>
          <w:p>
            <w:pPr>
              <w:spacing w:after="20"/>
            </w:pPr>
            <w:r>
              <w:rPr>
                <w:rFonts w:ascii="Aptos" w:hAnsi="Aptos"/>
                <w:sz w:val="14"/>
              </w:rPr>
              <w:t>WP6 Persistence</w:t>
            </w:r>
          </w:p>
        </w:tc>
        <w:tc>
          <w:tcPr>
            <w:tcW w:type="dxa" w:w="3408"/>
          </w:tcPr>
          <w:p>
            <w:pPr>
              <w:spacing w:after="20"/>
            </w:pPr>
            <w:r>
              <w:rPr>
                <w:rFonts w:ascii="Aptos" w:hAnsi="Aptos"/>
                <w:sz w:val="14"/>
              </w:rPr>
              <w:t>Bind workspace to local or approved colocation storage</w:t>
            </w:r>
          </w:p>
        </w:tc>
        <w:tc>
          <w:tcPr>
            <w:tcW w:type="dxa" w:w="3408"/>
          </w:tcPr>
          <w:p>
            <w:pPr>
              <w:spacing w:after="20"/>
            </w:pPr>
            <w:r>
              <w:rPr>
                <w:rFonts w:ascii="Aptos" w:hAnsi="Aptos"/>
                <w:sz w:val="14"/>
              </w:rPr>
              <w:t>Save/resume, isolation, retention and recovery tests</w:t>
            </w:r>
          </w:p>
        </w:tc>
      </w:tr>
      <w:tr>
        <w:tc>
          <w:tcPr>
            <w:tcW w:type="dxa" w:w="3408"/>
          </w:tcPr>
          <w:p>
            <w:pPr>
              <w:spacing w:after="20"/>
            </w:pPr>
            <w:r>
              <w:rPr>
                <w:rFonts w:ascii="Aptos" w:hAnsi="Aptos"/>
                <w:sz w:val="14"/>
              </w:rPr>
              <w:t>WP7 Resource access</w:t>
            </w:r>
          </w:p>
        </w:tc>
        <w:tc>
          <w:tcPr>
            <w:tcW w:type="dxa" w:w="3408"/>
          </w:tcPr>
          <w:p>
            <w:pPr>
              <w:spacing w:after="20"/>
            </w:pPr>
            <w:r>
              <w:rPr>
                <w:rFonts w:ascii="Aptos" w:hAnsi="Aptos"/>
                <w:sz w:val="14"/>
              </w:rPr>
              <w:t>Integrate CPU simulator first; add GPU/HPC/quantum after compatibility checks</w:t>
            </w:r>
          </w:p>
        </w:tc>
        <w:tc>
          <w:tcPr>
            <w:tcW w:type="dxa" w:w="3408"/>
          </w:tcPr>
          <w:p>
            <w:pPr>
              <w:spacing w:after="20"/>
            </w:pPr>
            <w:r>
              <w:rPr>
                <w:rFonts w:ascii="Aptos" w:hAnsi="Aptos"/>
                <w:sz w:val="14"/>
              </w:rPr>
              <w:t>Bounded workload and compatibility report</w:t>
            </w:r>
          </w:p>
        </w:tc>
      </w:tr>
      <w:tr>
        <w:tc>
          <w:tcPr>
            <w:tcW w:type="dxa" w:w="3408"/>
          </w:tcPr>
          <w:p>
            <w:pPr>
              <w:spacing w:after="20"/>
            </w:pPr>
            <w:r>
              <w:rPr>
                <w:rFonts w:ascii="Aptos" w:hAnsi="Aptos"/>
                <w:sz w:val="14"/>
              </w:rPr>
              <w:t>WP8 Governance/metering</w:t>
            </w:r>
          </w:p>
        </w:tc>
        <w:tc>
          <w:tcPr>
            <w:tcW w:type="dxa" w:w="3408"/>
          </w:tcPr>
          <w:p>
            <w:pPr>
              <w:spacing w:after="20"/>
            </w:pPr>
            <w:r>
              <w:rPr>
                <w:rFonts w:ascii="Aptos" w:hAnsi="Aptos"/>
                <w:sz w:val="14"/>
              </w:rPr>
              <w:t>Usage reports, policy checks, audit records, release</w:t>
            </w:r>
          </w:p>
        </w:tc>
        <w:tc>
          <w:tcPr>
            <w:tcW w:type="dxa" w:w="3408"/>
          </w:tcPr>
          <w:p>
            <w:pPr>
              <w:spacing w:after="20"/>
            </w:pPr>
            <w:r>
              <w:rPr>
                <w:rFonts w:ascii="Aptos" w:hAnsi="Aptos"/>
                <w:sz w:val="14"/>
              </w:rPr>
              <w:t>Usage reconciliation and cleanup evidence</w:t>
            </w:r>
          </w:p>
        </w:tc>
      </w:tr>
      <w:tr>
        <w:tc>
          <w:tcPr>
            <w:tcW w:type="dxa" w:w="3408"/>
          </w:tcPr>
          <w:p>
            <w:pPr>
              <w:spacing w:after="20"/>
            </w:pPr>
            <w:r>
              <w:rPr>
                <w:rFonts w:ascii="Aptos" w:hAnsi="Aptos"/>
                <w:sz w:val="14"/>
              </w:rPr>
              <w:t>WP9 Pilot readiness</w:t>
            </w:r>
          </w:p>
        </w:tc>
        <w:tc>
          <w:tcPr>
            <w:tcW w:type="dxa" w:w="3408"/>
          </w:tcPr>
          <w:p>
            <w:pPr>
              <w:spacing w:after="20"/>
            </w:pPr>
            <w:r>
              <w:rPr>
                <w:rFonts w:ascii="Aptos" w:hAnsi="Aptos"/>
                <w:sz w:val="14"/>
              </w:rPr>
              <w:t>Document support, security, operations, client roles, acceptance criteria</w:t>
            </w:r>
          </w:p>
        </w:tc>
        <w:tc>
          <w:tcPr>
            <w:tcW w:type="dxa" w:w="3408"/>
          </w:tcPr>
          <w:p>
            <w:pPr>
              <w:spacing w:after="20"/>
            </w:pPr>
            <w:r>
              <w:rPr>
                <w:rFonts w:ascii="Aptos" w:hAnsi="Aptos"/>
                <w:sz w:val="14"/>
              </w:rPr>
              <w:t>Pilot checklist and known limitations</w:t>
            </w:r>
          </w:p>
        </w:tc>
      </w:tr>
    </w:tbl>
    <w:p/>
    <w:p>
      <w:pPr>
        <w:pStyle w:val="Heading1"/>
      </w:pPr>
      <w:r>
        <w:t>12. Minimum end-to-end demonstration</w:t>
      </w:r>
    </w:p>
    <w:p>
      <w:pPr>
        <w:spacing w:after="80"/>
      </w:pPr>
      <w:r>
        <w:t>A learner launches a Developer or Quantum Lab desktop, opens a controlled Git repository, runs a Python notebook against a classical simulator, saves approved work to a persistent workspace, and closes the session. Then deploy the minimum equivalent CPS capability directly through the Operator and run the same workload without a desktop. Compare setup time, failure rate, isolation, resource use, evidence completeness, and user effort. Add GPU or physical quantum hardware only after the baseline is reproducible.</w:t>
      </w:r>
    </w:p>
    <w:p>
      <w:pPr>
        <w:pStyle w:val="Heading1"/>
      </w:pPr>
      <w:r>
        <w:t>13. Client decision checklist</w:t>
      </w:r>
    </w:p>
    <w:p>
      <w:pPr>
        <w:pStyle w:val="ListBullet"/>
        <w:spacing w:after="80"/>
      </w:pPr>
      <w:r>
        <w:t>Problem, outcome, user roles, and duration?</w:t>
      </w:r>
    </w:p>
    <w:p>
      <w:pPr>
        <w:pStyle w:val="ListBullet"/>
        <w:spacing w:after="80"/>
      </w:pPr>
      <w:r>
        <w:t>Prebuilt desktop, direct CPS deployment, or guided engineering?</w:t>
      </w:r>
    </w:p>
    <w:p>
      <w:pPr>
        <w:pStyle w:val="ListBullet"/>
        <w:spacing w:after="80"/>
      </w:pPr>
      <w:r>
        <w:t>Which services: QAI Lab, SaaS, PaaS, IaaS-style access, or QAI-DCaaS?</w:t>
      </w:r>
    </w:p>
    <w:p>
      <w:pPr>
        <w:pStyle w:val="ListBullet"/>
        <w:spacing w:after="80"/>
      </w:pPr>
      <w:r>
        <w:t>Where may desktop, compute, data, backups, logs, and evidence reside?</w:t>
      </w:r>
    </w:p>
    <w:p>
      <w:pPr>
        <w:pStyle w:val="ListBullet"/>
        <w:spacing w:after="80"/>
      </w:pPr>
      <w:r>
        <w:t>Which networks and external services are permitted?</w:t>
      </w:r>
    </w:p>
    <w:p>
      <w:pPr>
        <w:pStyle w:val="ListBullet"/>
        <w:spacing w:after="80"/>
      </w:pPr>
      <w:r>
        <w:t>Which identity, NDA, legal, procurement, privacy, security, accessibility, and retention requirements apply?</w:t>
      </w:r>
    </w:p>
    <w:p>
      <w:pPr>
        <w:pStyle w:val="ListBullet"/>
        <w:spacing w:after="80"/>
      </w:pPr>
      <w:r>
        <w:t>Which resources are available and compatible, and who operates them?</w:t>
      </w:r>
    </w:p>
    <w:p>
      <w:pPr>
        <w:pStyle w:val="ListBullet"/>
        <w:spacing w:after="80"/>
      </w:pPr>
      <w:r>
        <w:t>Usage limits, charging basis, support boundary, and approval authority?</w:t>
      </w:r>
    </w:p>
    <w:p>
      <w:pPr>
        <w:pStyle w:val="ListBullet"/>
        <w:spacing w:after="80"/>
      </w:pPr>
      <w:r>
        <w:t>Acceptance tests, rollback, release rules, and success measures?</w:t>
      </w:r>
    </w:p>
    <w:p>
      <w:pPr>
        <w:pStyle w:val="Heading1"/>
      </w:pPr>
      <w:r>
        <w:t>14. Summary</w:t>
      </w:r>
    </w:p>
    <w:p>
      <w:pPr>
        <w:spacing w:after="80"/>
      </w:pPr>
      <w:r>
        <w:t>Bhadale IT's client-environment-based deployment model lets clients start at the level appropriate to their needs and technical maturity. Prebuilt desktop images reduce setup effort; direct CPS deployment provides greater control; guided deployment bridges the two. QAI Lab, SaaS, PaaS, IaaS-style access, and QAI-DCaaS remain service choices within one architecture. Standard lifecycle controls, policy-aware onboarding, persistent workspaces, controlled release, and evidence-based validation reduce avoidable setup friction without promising that all technical issues disappear.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Bhadale IT | QAI Client Environment-Based Deployment Model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