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t>QAI Data Center as a Service</w:t>
      </w:r>
    </w:p>
    <w:p>
      <w:pPr>
        <w:jc w:val="center"/>
      </w:pPr>
      <w:r>
        <w:rPr>
          <w:b/>
          <w:color w:val="4472C4"/>
          <w:sz w:val="32"/>
        </w:rPr>
        <w:t>Australian Standards, Policy and Regulatory Alignment</w:t>
      </w:r>
    </w:p>
    <w:p>
      <w:pPr>
        <w:jc w:val="center"/>
      </w:pPr>
      <w:r>
        <w:t>Bhadale IT • Working Research and Implementation Brief • 20 October 2026</w:t>
      </w:r>
    </w:p>
    <w:p>
      <w:pPr>
        <w:jc w:val="center"/>
      </w:pPr>
      <w:r>
        <w:rPr>
          <w:i/>
        </w:rPr>
        <w:t>Connect policy and applicable standards to existing QAI-DCaaS architecture, assurance, deployment and service delivery—without creating duplicate frameworks.</w:t>
      </w:r>
    </w:p>
    <w:p>
      <w:r>
        <w:br w:type="page"/>
      </w:r>
    </w:p>
    <w:p>
      <w:pPr>
        <w:pStyle w:val="Heading1"/>
      </w:pPr>
      <w:r>
        <w:t>1. Executive summary</w:t>
      </w:r>
    </w:p>
    <w:p>
      <w:r>
        <w:t>The supplied SafeAI-Aus tracker and associated AI-mode research indicate that Australian QAI-DCaaS planning should consider established technical standards and evolving policy for AI and large-scale data-centre infrastructure. The practical response is an evidence-led applicability model: identify the source, establish its status and jurisdiction, determine whether it applies to the specific service, map it to an existing QAI capability, and define evidence, gaps, ownership and acceptance criteria.</w:t>
      </w:r>
    </w:p>
    <w:p>
      <w:r>
        <w:t>This brief distinguishes legislation and binding obligations from contractual conditions, published government expectations, voluntary standards and proposals under development. A reference to a policy or standard does not by itself establish compliance, procurement eligibility, funding eligibility, technical readiness or customer endorsement.</w:t>
      </w:r>
    </w:p>
    <w:p>
      <w:pPr>
        <w:pStyle w:val="Heading1"/>
      </w:pPr>
      <w:r>
        <w:t>2. Source status and verification discipline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7"/>
              </w:rPr>
              <w:t>Category</w:t>
            </w:r>
          </w:p>
        </w:tc>
        <w:tc>
          <w:tcPr>
            <w:tcW w:type="dxa" w:w="3312"/>
            <w:shd w:fill="D9EAF7"/>
          </w:tcPr>
          <w:p>
            <w:r>
              <w:rPr>
                <w:b/>
                <w:sz w:val="17"/>
              </w:rPr>
              <w:t>How to treat it</w:t>
            </w:r>
          </w:p>
        </w:tc>
        <w:tc>
          <w:tcPr>
            <w:tcW w:type="dxa" w:w="3312"/>
            <w:shd w:fill="D9EAF7"/>
          </w:tcPr>
          <w:p>
            <w:r>
              <w:rPr>
                <w:b/>
                <w:sz w:val="17"/>
              </w:rPr>
              <w:t>QAI-DCaaS implication</w:t>
            </w:r>
          </w:p>
        </w:tc>
      </w:tr>
      <w:tr>
        <w:tc>
          <w:tcPr>
            <w:tcW w:type="dxa" w:w="3312"/>
          </w:tcPr>
          <w:p>
            <w:pPr>
              <w:spacing w:after="20"/>
            </w:pPr>
            <w:r>
              <w:rPr>
                <w:sz w:val="16"/>
              </w:rPr>
              <w:t>Existing legislation</w:t>
            </w:r>
          </w:p>
        </w:tc>
        <w:tc>
          <w:tcPr>
            <w:tcW w:type="dxa" w:w="3312"/>
          </w:tcPr>
          <w:p>
            <w:pPr>
              <w:spacing w:after="20"/>
            </w:pPr>
            <w:r>
              <w:rPr>
                <w:sz w:val="16"/>
              </w:rPr>
              <w:t>Determine applicability to the actual project, jurisdiction, data and service.</w:t>
            </w:r>
          </w:p>
        </w:tc>
        <w:tc>
          <w:tcPr>
            <w:tcW w:type="dxa" w:w="3312"/>
          </w:tcPr>
          <w:p>
            <w:pPr>
              <w:spacing w:after="20"/>
            </w:pPr>
            <w:r>
              <w:rPr>
                <w:sz w:val="16"/>
              </w:rPr>
              <w:t>Record obligations and evidence needs during discovery and assurance.</w:t>
            </w:r>
          </w:p>
        </w:tc>
      </w:tr>
      <w:tr>
        <w:tc>
          <w:tcPr>
            <w:tcW w:type="dxa" w:w="3312"/>
          </w:tcPr>
          <w:p>
            <w:pPr>
              <w:spacing w:after="20"/>
            </w:pPr>
            <w:r>
              <w:rPr>
                <w:sz w:val="16"/>
              </w:rPr>
              <w:t>Published government expectations</w:t>
            </w:r>
          </w:p>
        </w:tc>
        <w:tc>
          <w:tcPr>
            <w:tcW w:type="dxa" w:w="3312"/>
          </w:tcPr>
          <w:p>
            <w:pPr>
              <w:spacing w:after="20"/>
            </w:pPr>
            <w:r>
              <w:rPr>
                <w:sz w:val="16"/>
              </w:rPr>
              <w:t>Treat as policy context; assess scope and applicability rather than assuming universal certification requirements.</w:t>
            </w:r>
          </w:p>
        </w:tc>
        <w:tc>
          <w:tcPr>
            <w:tcW w:type="dxa" w:w="3312"/>
          </w:tcPr>
          <w:p>
            <w:pPr>
              <w:spacing w:after="20"/>
            </w:pPr>
            <w:r>
              <w:rPr>
                <w:sz w:val="16"/>
              </w:rPr>
              <w:t>Consider energy, water, workforce, innovation and national-interest factors for relevant projects.</w:t>
            </w:r>
          </w:p>
        </w:tc>
      </w:tr>
      <w:tr>
        <w:tc>
          <w:tcPr>
            <w:tcW w:type="dxa" w:w="3312"/>
          </w:tcPr>
          <w:p>
            <w:pPr>
              <w:spacing w:after="20"/>
            </w:pPr>
            <w:r>
              <w:rPr>
                <w:sz w:val="16"/>
              </w:rPr>
              <w:t>Emerging policy or proposals</w:t>
            </w:r>
          </w:p>
        </w:tc>
        <w:tc>
          <w:tcPr>
            <w:tcW w:type="dxa" w:w="3312"/>
          </w:tcPr>
          <w:p>
            <w:pPr>
              <w:spacing w:after="20"/>
            </w:pPr>
            <w:r>
              <w:rPr>
                <w:sz w:val="16"/>
              </w:rPr>
              <w:t>Mark proposed/pending verification until confirmed by authoritative sources and final instruments.</w:t>
            </w:r>
          </w:p>
        </w:tc>
        <w:tc>
          <w:tcPr>
            <w:tcW w:type="dxa" w:w="3312"/>
          </w:tcPr>
          <w:p>
            <w:pPr>
              <w:spacing w:after="20"/>
            </w:pPr>
            <w:r>
              <w:rPr>
                <w:sz w:val="16"/>
              </w:rPr>
              <w:t>Design for adaptability; do not describe proposals as enacted law.</w:t>
            </w:r>
          </w:p>
        </w:tc>
      </w:tr>
      <w:tr>
        <w:tc>
          <w:tcPr>
            <w:tcW w:type="dxa" w:w="3312"/>
          </w:tcPr>
          <w:p>
            <w:pPr>
              <w:spacing w:after="20"/>
            </w:pPr>
            <w:r>
              <w:rPr>
                <w:sz w:val="16"/>
              </w:rPr>
              <w:t>Technical standards and assurance frameworks</w:t>
            </w:r>
          </w:p>
        </w:tc>
        <w:tc>
          <w:tcPr>
            <w:tcW w:type="dxa" w:w="3312"/>
          </w:tcPr>
          <w:p>
            <w:pPr>
              <w:spacing w:after="20"/>
            </w:pPr>
            <w:r>
              <w:rPr>
                <w:sz w:val="16"/>
              </w:rPr>
              <w:t>Check scope, edition, adoption, contractual status and certification requirements.</w:t>
            </w:r>
          </w:p>
        </w:tc>
        <w:tc>
          <w:tcPr>
            <w:tcW w:type="dxa" w:w="3312"/>
          </w:tcPr>
          <w:p>
            <w:pPr>
              <w:spacing w:after="20"/>
            </w:pPr>
            <w:r>
              <w:rPr>
                <w:sz w:val="16"/>
              </w:rPr>
              <w:t>Select a proportionate set for each facility, service and workload.</w:t>
            </w:r>
          </w:p>
        </w:tc>
      </w:tr>
    </w:tbl>
    <w:p/>
    <w:p>
      <w:r>
        <w:t>Verification note: SafeAI-Aus is a secondary tracker. Statements about future national requirements, thresholds, dates or state policy should be checked against the relevant official government instrument before use in a bid, investment case or compliance claim.</w:t>
      </w:r>
    </w:p>
    <w:p>
      <w:pPr>
        <w:pStyle w:val="Heading1"/>
      </w:pPr>
      <w:r>
        <w:t>3. Australian policy context</w:t>
      </w:r>
    </w:p>
    <w:p>
      <w:pPr>
        <w:pStyle w:val="Heading2"/>
      </w:pPr>
      <w:r>
        <w:t>3.1 Commonwealth</w:t>
      </w:r>
    </w:p>
    <w:p>
      <w:r>
        <w:t>The Australian Government’s published expectations for data-centre and AI infrastructure address national interest, energy transition and grid impacts, water use, Australian workforce and skills, research, innovation and local capability. Apply them in context alongside existing laws and project-specific approvals; do not assume identical application to every edge deployment or enterprise installation.</w:t>
      </w:r>
    </w:p>
    <w:p>
      <w:r>
        <w:t>The September 2026 consultation paper, “Getting it right: Building AI infrastructure that works for Australia,” is an important policy-development source. Treat consultation proposals as proposals unless and until final requirements are confirmed.</w:t>
      </w:r>
    </w:p>
    <w:p>
      <w:pPr>
        <w:pStyle w:val="Heading2"/>
      </w:pPr>
      <w:r>
        <w:t>3.2 New South Wales</w:t>
      </w:r>
    </w:p>
    <w:p>
      <w:r>
        <w:t>Use current official Infrastructure NSW material to check the NSW Data Centre Policy Framework and Guidelines and related energy-cost recovery and water-pricing work. Earlier consultation material may be superseded. Confirm the applicable planning pathway, thresholds, commencement dates and requirements for the specific site and development.</w:t>
      </w:r>
    </w:p>
    <w:p>
      <w:pPr>
        <w:pStyle w:val="Heading2"/>
      </w:pPr>
      <w:r>
        <w:t>3.3 Australian Capital Territory</w:t>
      </w:r>
    </w:p>
    <w:p>
      <w:r>
        <w:t>Assess ACT technology directions, planning and zoning, procurement, data governance, energy and water constraints against current ACT Government sources. Do not infer that a reported restriction or policy applies until the official instrument and its scope have been verified.</w:t>
      </w:r>
    </w:p>
    <w:p>
      <w:pPr>
        <w:pStyle w:val="Heading1"/>
      </w:pPr>
      <w:r>
        <w:t>4. Standards hierarchy for QAI-DCaaS</w:t>
      </w:r>
    </w:p>
    <w:p>
      <w:pPr>
        <w:pStyle w:val="Heading2"/>
      </w:pPr>
      <w:r>
        <w:t>Layer A — Australian policy and jurisdictional requirements</w:t>
      </w:r>
    </w:p>
    <w:p>
      <w:pPr>
        <w:pStyle w:val="ListBullet"/>
      </w:pPr>
      <w:r>
        <w:t>Commonwealth data-centre and AI infrastructure expectations and relevant national policies.</w:t>
      </w:r>
    </w:p>
    <w:p>
      <w:pPr>
        <w:pStyle w:val="ListBullet"/>
      </w:pPr>
      <w:r>
        <w:t>NSW and ACT planning, digital government, procurement and jurisdiction-specific requirements.</w:t>
      </w:r>
    </w:p>
    <w:p>
      <w:pPr>
        <w:pStyle w:val="ListBullet"/>
      </w:pPr>
      <w:r>
        <w:t>Applicable privacy, cybersecurity, records, data governance, environmental and other legal obligations.</w:t>
      </w:r>
    </w:p>
    <w:p>
      <w:pPr>
        <w:pStyle w:val="ListBullet"/>
      </w:pPr>
      <w:r>
        <w:t>Client-specific contractual conditions, assurance requirements and acceptance criteria.</w:t>
      </w:r>
    </w:p>
    <w:p>
      <w:pPr>
        <w:pStyle w:val="Heading2"/>
      </w:pPr>
      <w:r>
        <w:t>Layer B — Facility and infrastructure standards</w:t>
      </w:r>
    </w:p>
    <w:p>
      <w:pPr>
        <w:pStyle w:val="ListBullet"/>
      </w:pPr>
      <w:r>
        <w:t>ISO/IEC 22237 and EN 50600: assess relevance to data-centre facilities and infrastructure.</w:t>
      </w:r>
    </w:p>
    <w:p>
      <w:pPr>
        <w:pStyle w:val="ListBullet"/>
      </w:pPr>
      <w:r>
        <w:t>ANSI/TIA-942: assess relevance to telecommunications and facility design.</w:t>
      </w:r>
    </w:p>
    <w:p>
      <w:pPr>
        <w:pStyle w:val="ListBullet"/>
      </w:pPr>
      <w:r>
        <w:t>Applicable electrical, mechanical, building, fire-safety, cooling, energy and water requirements.</w:t>
      </w:r>
    </w:p>
    <w:p>
      <w:pPr>
        <w:pStyle w:val="ListBullet"/>
      </w:pPr>
      <w:r>
        <w:t>Relevant measurement frameworks for energy, water and environmental performance.</w:t>
      </w:r>
    </w:p>
    <w:p>
      <w:r>
        <w:t>These standards have different scopes and origins. Do not treat them as interchangeable or universally mandatory.</w:t>
      </w:r>
    </w:p>
    <w:p>
      <w:pPr>
        <w:pStyle w:val="Heading2"/>
      </w:pPr>
      <w:r>
        <w:t>Layer C — Security, continuity and service management</w:t>
      </w:r>
    </w:p>
    <w:p>
      <w:pPr>
        <w:pStyle w:val="ListBullet"/>
      </w:pPr>
      <w:r>
        <w:t>ISO/IEC 27001 — information security management.</w:t>
      </w:r>
    </w:p>
    <w:p>
      <w:pPr>
        <w:pStyle w:val="ListBullet"/>
      </w:pPr>
      <w:r>
        <w:t>ISO 22301 — business continuity management.</w:t>
      </w:r>
    </w:p>
    <w:p>
      <w:pPr>
        <w:pStyle w:val="ListBullet"/>
      </w:pPr>
      <w:r>
        <w:t>ISO/IEC 20000-1 — service management.</w:t>
      </w:r>
    </w:p>
    <w:p>
      <w:pPr>
        <w:pStyle w:val="ListBullet"/>
      </w:pPr>
      <w:r>
        <w:t>Applicable Australian Government security requirements when serving relevant government clients.</w:t>
      </w:r>
    </w:p>
    <w:p>
      <w:r>
        <w:t>Determine controls from the client, information classification, risk assessment, operating environment, contract and applicable law. Using a framework does not imply certification.</w:t>
      </w:r>
    </w:p>
    <w:p>
      <w:pPr>
        <w:pStyle w:val="Heading2"/>
      </w:pPr>
      <w:r>
        <w:t>Layer D — AI and quantum technology assurance</w:t>
      </w:r>
    </w:p>
    <w:p>
      <w:r>
        <w:t>The Australian Government Architecture publishes a Quantum Computing Standard identified in the supplied research as CAP63, POL44 and STA60, described there as non-mandatory. Confirm the current official page, version, scope and applicability before relying on those identifiers or any compliance interpretation.</w:t>
      </w:r>
    </w:p>
    <w:p>
      <w:pPr>
        <w:pStyle w:val="ListBullet"/>
      </w:pPr>
      <w:r>
        <w:t>Identify whether execution is simulated, emulated, virtualized, remote or on physical quantum hardware.</w:t>
      </w:r>
    </w:p>
    <w:p>
      <w:pPr>
        <w:pStyle w:val="ListBullet"/>
      </w:pPr>
      <w:r>
        <w:t>Define a classical baseline before making quantum-specific performance claims.</w:t>
      </w:r>
    </w:p>
    <w:p>
      <w:pPr>
        <w:pStyle w:val="ListBullet"/>
      </w:pPr>
      <w:r>
        <w:t>Measure relevant performance, cost, accuracy, latency and resource consumption.</w:t>
      </w:r>
    </w:p>
    <w:p>
      <w:pPr>
        <w:pStyle w:val="ListBullet"/>
      </w:pPr>
      <w:r>
        <w:t>Record test configuration, version, limitations, reproducibility and acceptance criteria.</w:t>
      </w:r>
    </w:p>
    <w:p>
      <w:pPr>
        <w:pStyle w:val="ListBullet"/>
      </w:pPr>
      <w:r>
        <w:t>Assess security and interoperability, including post-quantum cryptography where applicable.</w:t>
      </w:r>
    </w:p>
    <w:p>
      <w:pPr>
        <w:pStyle w:val="Heading1"/>
      </w:pPr>
      <w:r>
        <w:t>5. Mapping standards to the existing repository</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7"/>
              </w:rPr>
              <w:t>Existing component</w:t>
            </w:r>
          </w:p>
        </w:tc>
        <w:tc>
          <w:tcPr>
            <w:tcW w:type="dxa" w:w="4968"/>
            <w:shd w:fill="D9EAF7"/>
          </w:tcPr>
          <w:p>
            <w:r>
              <w:rPr>
                <w:b/>
                <w:sz w:val="17"/>
              </w:rPr>
              <w:t>Primary responsibility</w:t>
            </w:r>
          </w:p>
        </w:tc>
      </w:tr>
      <w:tr>
        <w:tc>
          <w:tcPr>
            <w:tcW w:type="dxa" w:w="4968"/>
          </w:tcPr>
          <w:p>
            <w:pPr>
              <w:spacing w:after="20"/>
            </w:pPr>
            <w:r>
              <w:rPr>
                <w:sz w:val="16"/>
              </w:rPr>
              <w:t>qai_datacenter/</w:t>
            </w:r>
          </w:p>
        </w:tc>
        <w:tc>
          <w:tcPr>
            <w:tcW w:type="dxa" w:w="4968"/>
          </w:tcPr>
          <w:p>
            <w:pPr>
              <w:spacing w:after="20"/>
            </w:pPr>
            <w:r>
              <w:rPr>
                <w:sz w:val="16"/>
              </w:rPr>
              <w:t>Canonical technical architecture, infrastructure requirements, facility interfaces and reference designs.</w:t>
            </w:r>
          </w:p>
        </w:tc>
      </w:tr>
      <w:tr>
        <w:tc>
          <w:tcPr>
            <w:tcW w:type="dxa" w:w="4968"/>
          </w:tcPr>
          <w:p>
            <w:pPr>
              <w:spacing w:after="20"/>
            </w:pPr>
            <w:r>
              <w:rPr>
                <w:sz w:val="16"/>
              </w:rPr>
              <w:t>qai_deployment_operator/</w:t>
            </w:r>
          </w:p>
        </w:tc>
        <w:tc>
          <w:tcPr>
            <w:tcW w:type="dxa" w:w="4968"/>
          </w:tcPr>
          <w:p>
            <w:pPr>
              <w:spacing w:after="20"/>
            </w:pPr>
            <w:r>
              <w:rPr>
                <w:sz w:val="16"/>
              </w:rPr>
              <w:t>Controlled deployment, environment configuration, implementation evidence and verification.</w:t>
            </w:r>
          </w:p>
        </w:tc>
      </w:tr>
      <w:tr>
        <w:tc>
          <w:tcPr>
            <w:tcW w:type="dxa" w:w="4968"/>
          </w:tcPr>
          <w:p>
            <w:pPr>
              <w:spacing w:after="20"/>
            </w:pPr>
            <w:r>
              <w:rPr>
                <w:sz w:val="16"/>
              </w:rPr>
              <w:t>qai_datacenter_asaservice/assurance/</w:t>
            </w:r>
          </w:p>
        </w:tc>
        <w:tc>
          <w:tcPr>
            <w:tcW w:type="dxa" w:w="4968"/>
          </w:tcPr>
          <w:p>
            <w:pPr>
              <w:spacing w:after="20"/>
            </w:pPr>
            <w:r>
              <w:rPr>
                <w:sz w:val="16"/>
              </w:rPr>
              <w:t>Requirements assurance, evidence references, gaps and acceptance criteria.</w:t>
            </w:r>
          </w:p>
        </w:tc>
      </w:tr>
      <w:tr>
        <w:tc>
          <w:tcPr>
            <w:tcW w:type="dxa" w:w="4968"/>
          </w:tcPr>
          <w:p>
            <w:pPr>
              <w:spacing w:after="20"/>
            </w:pPr>
            <w:r>
              <w:rPr>
                <w:sz w:val="16"/>
              </w:rPr>
              <w:t>qai_datacenter_asaservice/service_management/</w:t>
            </w:r>
          </w:p>
        </w:tc>
        <w:tc>
          <w:tcPr>
            <w:tcW w:type="dxa" w:w="4968"/>
          </w:tcPr>
          <w:p>
            <w:pPr>
              <w:spacing w:after="20"/>
            </w:pPr>
            <w:r>
              <w:rPr>
                <w:sz w:val="16"/>
              </w:rPr>
              <w:t>Service responsibilities, operational controls and service-level definitions.</w:t>
            </w:r>
          </w:p>
        </w:tc>
      </w:tr>
      <w:tr>
        <w:tc>
          <w:tcPr>
            <w:tcW w:type="dxa" w:w="4968"/>
          </w:tcPr>
          <w:p>
            <w:pPr>
              <w:spacing w:after="20"/>
            </w:pPr>
            <w:r>
              <w:rPr>
                <w:sz w:val="16"/>
              </w:rPr>
              <w:t>qai_datacenter_asaservice/operations/</w:t>
            </w:r>
          </w:p>
        </w:tc>
        <w:tc>
          <w:tcPr>
            <w:tcW w:type="dxa" w:w="4968"/>
          </w:tcPr>
          <w:p>
            <w:pPr>
              <w:spacing w:after="20"/>
            </w:pPr>
            <w:r>
              <w:rPr>
                <w:sz w:val="16"/>
              </w:rPr>
              <w:t>Operational procedures, incident handling, maintenance and continuity arrangements.</w:t>
            </w:r>
          </w:p>
        </w:tc>
      </w:tr>
      <w:tr>
        <w:tc>
          <w:tcPr>
            <w:tcW w:type="dxa" w:w="4968"/>
          </w:tcPr>
          <w:p>
            <w:pPr>
              <w:spacing w:after="20"/>
            </w:pPr>
            <w:r>
              <w:rPr>
                <w:sz w:val="16"/>
              </w:rPr>
              <w:t>qai_datacenter_asaservice/investment/</w:t>
            </w:r>
          </w:p>
        </w:tc>
        <w:tc>
          <w:tcPr>
            <w:tcW w:type="dxa" w:w="4968"/>
          </w:tcPr>
          <w:p>
            <w:pPr>
              <w:spacing w:after="20"/>
            </w:pPr>
            <w:r>
              <w:rPr>
                <w:sz w:val="16"/>
              </w:rPr>
              <w:t>Capital and operating costs, lifecycle costs and infrastructure assumptions.</w:t>
            </w:r>
          </w:p>
        </w:tc>
      </w:tr>
      <w:tr>
        <w:tc>
          <w:tcPr>
            <w:tcW w:type="dxa" w:w="4968"/>
          </w:tcPr>
          <w:p>
            <w:pPr>
              <w:spacing w:after="20"/>
            </w:pPr>
            <w:r>
              <w:rPr>
                <w:sz w:val="16"/>
              </w:rPr>
              <w:t>qai_platform_development/country_priorities/countries/australia/frameworks/</w:t>
            </w:r>
          </w:p>
        </w:tc>
        <w:tc>
          <w:tcPr>
            <w:tcW w:type="dxa" w:w="4968"/>
          </w:tcPr>
          <w:p>
            <w:pPr>
              <w:spacing w:after="20"/>
            </w:pPr>
            <w:r>
              <w:rPr>
                <w:sz w:val="16"/>
              </w:rPr>
              <w:t>Australian policy interpretation, jurisdictional applicability and capability mapping.</w:t>
            </w:r>
          </w:p>
        </w:tc>
      </w:tr>
    </w:tbl>
    <w:p/>
    <w:p>
      <w:r>
        <w:t>Repository principle: keep the Australia frameworks directory as the policy and jurisdictional assessment layer. Technical architecture, deployment controls, investment models and service-management procedures should remain in their existing canonical locations.</w:t>
      </w:r>
    </w:p>
    <w:p>
      <w:pPr>
        <w:pStyle w:val="Heading1"/>
      </w:pPr>
      <w:r>
        <w:t>6. Proposed standards applicability record</w:t>
      </w:r>
    </w:p>
    <w:p>
      <w:r>
        <w:t>Before adding another file, review `qai_datacenter_asaservice/assurance/requirements_assurance_matrix.md`. If it already supports these fields, extend that matrix. Create a separate standards register only if the existing matrix cannot represent the required source, status and applicability information.</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7"/>
              </w:rPr>
              <w:t>Field</w:t>
            </w:r>
          </w:p>
        </w:tc>
        <w:tc>
          <w:tcPr>
            <w:tcW w:type="dxa" w:w="4968"/>
            <w:shd w:fill="D9EAF7"/>
          </w:tcPr>
          <w:p>
            <w:r>
              <w:rPr>
                <w:b/>
                <w:sz w:val="17"/>
              </w:rPr>
              <w:t>Purpose</w:t>
            </w:r>
          </w:p>
        </w:tc>
      </w:tr>
      <w:tr>
        <w:tc>
          <w:tcPr>
            <w:tcW w:type="dxa" w:w="4968"/>
          </w:tcPr>
          <w:p>
            <w:pPr>
              <w:spacing w:after="20"/>
            </w:pPr>
            <w:r>
              <w:rPr>
                <w:sz w:val="16"/>
              </w:rPr>
              <w:t>Standard/requirement ID</w:t>
            </w:r>
          </w:p>
        </w:tc>
        <w:tc>
          <w:tcPr>
            <w:tcW w:type="dxa" w:w="4968"/>
          </w:tcPr>
          <w:p>
            <w:pPr>
              <w:spacing w:after="20"/>
            </w:pPr>
            <w:r>
              <w:rPr>
                <w:sz w:val="16"/>
              </w:rPr>
              <w:t>Unique, stable reference.</w:t>
            </w:r>
          </w:p>
        </w:tc>
      </w:tr>
      <w:tr>
        <w:tc>
          <w:tcPr>
            <w:tcW w:type="dxa" w:w="4968"/>
          </w:tcPr>
          <w:p>
            <w:pPr>
              <w:spacing w:after="20"/>
            </w:pPr>
            <w:r>
              <w:rPr>
                <w:sz w:val="16"/>
              </w:rPr>
              <w:t>Source and issuing authority</w:t>
            </w:r>
          </w:p>
        </w:tc>
        <w:tc>
          <w:tcPr>
            <w:tcW w:type="dxa" w:w="4968"/>
          </w:tcPr>
          <w:p>
            <w:pPr>
              <w:spacing w:after="20"/>
            </w:pPr>
            <w:r>
              <w:rPr>
                <w:sz w:val="16"/>
              </w:rPr>
              <w:t>Authoritative source and owner.</w:t>
            </w:r>
          </w:p>
        </w:tc>
      </w:tr>
      <w:tr>
        <w:tc>
          <w:tcPr>
            <w:tcW w:type="dxa" w:w="4968"/>
          </w:tcPr>
          <w:p>
            <w:pPr>
              <w:spacing w:after="20"/>
            </w:pPr>
            <w:r>
              <w:rPr>
                <w:sz w:val="16"/>
              </w:rPr>
              <w:t>Status/classification</w:t>
            </w:r>
          </w:p>
        </w:tc>
        <w:tc>
          <w:tcPr>
            <w:tcW w:type="dxa" w:w="4968"/>
          </w:tcPr>
          <w:p>
            <w:pPr>
              <w:spacing w:after="20"/>
            </w:pPr>
            <w:r>
              <w:rPr>
                <w:sz w:val="16"/>
              </w:rPr>
              <w:t>Legislation, mandatory standard, contractual requirement, voluntary standard, published expectation or proposed policy.</w:t>
            </w:r>
          </w:p>
        </w:tc>
      </w:tr>
      <w:tr>
        <w:tc>
          <w:tcPr>
            <w:tcW w:type="dxa" w:w="4968"/>
          </w:tcPr>
          <w:p>
            <w:pPr>
              <w:spacing w:after="20"/>
            </w:pPr>
            <w:r>
              <w:rPr>
                <w:sz w:val="16"/>
              </w:rPr>
              <w:t>Applicability and rationale</w:t>
            </w:r>
          </w:p>
        </w:tc>
        <w:tc>
          <w:tcPr>
            <w:tcW w:type="dxa" w:w="4968"/>
          </w:tcPr>
          <w:p>
            <w:pPr>
              <w:spacing w:after="20"/>
            </w:pPr>
            <w:r>
              <w:rPr>
                <w:sz w:val="16"/>
              </w:rPr>
              <w:t>Why it applies—or does not apply—to this deployment.</w:t>
            </w:r>
          </w:p>
        </w:tc>
      </w:tr>
      <w:tr>
        <w:tc>
          <w:tcPr>
            <w:tcW w:type="dxa" w:w="4968"/>
          </w:tcPr>
          <w:p>
            <w:pPr>
              <w:spacing w:after="20"/>
            </w:pPr>
            <w:r>
              <w:rPr>
                <w:sz w:val="16"/>
              </w:rPr>
              <w:t>Relevant QAI-DCaaS component</w:t>
            </w:r>
          </w:p>
        </w:tc>
        <w:tc>
          <w:tcPr>
            <w:tcW w:type="dxa" w:w="4968"/>
          </w:tcPr>
          <w:p>
            <w:pPr>
              <w:spacing w:after="20"/>
            </w:pPr>
            <w:r>
              <w:rPr>
                <w:sz w:val="16"/>
              </w:rPr>
              <w:t>Architecture, deployment, assurance, operations, service management or investment.</w:t>
            </w:r>
          </w:p>
        </w:tc>
      </w:tr>
      <w:tr>
        <w:tc>
          <w:tcPr>
            <w:tcW w:type="dxa" w:w="4968"/>
          </w:tcPr>
          <w:p>
            <w:pPr>
              <w:spacing w:after="20"/>
            </w:pPr>
            <w:r>
              <w:rPr>
                <w:sz w:val="16"/>
              </w:rPr>
              <w:t>Evidence required</w:t>
            </w:r>
          </w:p>
        </w:tc>
        <w:tc>
          <w:tcPr>
            <w:tcW w:type="dxa" w:w="4968"/>
          </w:tcPr>
          <w:p>
            <w:pPr>
              <w:spacing w:after="20"/>
            </w:pPr>
            <w:r>
              <w:rPr>
                <w:sz w:val="16"/>
              </w:rPr>
              <w:t>Documents, configuration, tests, measurements or assessment records.</w:t>
            </w:r>
          </w:p>
        </w:tc>
      </w:tr>
      <w:tr>
        <w:tc>
          <w:tcPr>
            <w:tcW w:type="dxa" w:w="4968"/>
          </w:tcPr>
          <w:p>
            <w:pPr>
              <w:spacing w:after="20"/>
            </w:pPr>
            <w:r>
              <w:rPr>
                <w:sz w:val="16"/>
              </w:rPr>
              <w:t>Gap and owner</w:t>
            </w:r>
          </w:p>
        </w:tc>
        <w:tc>
          <w:tcPr>
            <w:tcW w:type="dxa" w:w="4968"/>
          </w:tcPr>
          <w:p>
            <w:pPr>
              <w:spacing w:after="20"/>
            </w:pPr>
            <w:r>
              <w:rPr>
                <w:sz w:val="16"/>
              </w:rPr>
              <w:t>Outstanding work and accountable person/team.</w:t>
            </w:r>
          </w:p>
        </w:tc>
      </w:tr>
      <w:tr>
        <w:tc>
          <w:tcPr>
            <w:tcW w:type="dxa" w:w="4968"/>
          </w:tcPr>
          <w:p>
            <w:pPr>
              <w:spacing w:after="20"/>
            </w:pPr>
            <w:r>
              <w:rPr>
                <w:sz w:val="16"/>
              </w:rPr>
              <w:t>Acceptance criterion</w:t>
            </w:r>
          </w:p>
        </w:tc>
        <w:tc>
          <w:tcPr>
            <w:tcW w:type="dxa" w:w="4968"/>
          </w:tcPr>
          <w:p>
            <w:pPr>
              <w:spacing w:after="20"/>
            </w:pPr>
            <w:r>
              <w:rPr>
                <w:sz w:val="16"/>
              </w:rPr>
              <w:t>Observable condition for completion.</w:t>
            </w:r>
          </w:p>
        </w:tc>
      </w:tr>
      <w:tr>
        <w:tc>
          <w:tcPr>
            <w:tcW w:type="dxa" w:w="4968"/>
          </w:tcPr>
          <w:p>
            <w:pPr>
              <w:spacing w:after="20"/>
            </w:pPr>
            <w:r>
              <w:rPr>
                <w:sz w:val="16"/>
              </w:rPr>
              <w:t>Stage gate</w:t>
            </w:r>
          </w:p>
        </w:tc>
        <w:tc>
          <w:tcPr>
            <w:tcW w:type="dxa" w:w="4968"/>
          </w:tcPr>
          <w:p>
            <w:pPr>
              <w:spacing w:after="20"/>
            </w:pPr>
            <w:r>
              <w:rPr>
                <w:sz w:val="16"/>
              </w:rPr>
              <w:t>Decision point for evidence review.</w:t>
            </w:r>
          </w:p>
        </w:tc>
      </w:tr>
      <w:tr>
        <w:tc>
          <w:tcPr>
            <w:tcW w:type="dxa" w:w="4968"/>
          </w:tcPr>
          <w:p>
            <w:pPr>
              <w:spacing w:after="20"/>
            </w:pPr>
            <w:r>
              <w:rPr>
                <w:sz w:val="16"/>
              </w:rPr>
              <w:t>Review date</w:t>
            </w:r>
          </w:p>
        </w:tc>
        <w:tc>
          <w:tcPr>
            <w:tcW w:type="dxa" w:w="4968"/>
          </w:tcPr>
          <w:p>
            <w:pPr>
              <w:spacing w:after="20"/>
            </w:pPr>
            <w:r>
              <w:rPr>
                <w:sz w:val="16"/>
              </w:rPr>
              <w:t>Next source/applicability review.</w:t>
            </w:r>
          </w:p>
        </w:tc>
      </w:tr>
    </w:tbl>
    <w:p/>
    <w:p>
      <w:pPr>
        <w:pStyle w:val="Heading1"/>
      </w:pPr>
      <w:r>
        <w:t>7. Policy-to-delivery traceability</w:t>
      </w:r>
    </w:p>
    <w:p>
      <w:pPr>
        <w:jc w:val="center"/>
      </w:pPr>
      <w:r>
        <w:rPr>
          <w:b/>
          <w:color w:val="1F4E79"/>
        </w:rPr>
        <w:t>Source → Requirement → Applicability → Capability → Gap → Work Package → Acceptance Criteria → Evidence → Stage-Gate Decision → Outcome</w:t>
      </w:r>
    </w:p>
    <w:p>
      <w:r>
        <w:t>For each selected requirement, validate the source and stakeholder need; map it to an existing capability and evidenced readiness; record gaps, dependencies, owners and cost assumptions; define acceptance criteria; execute through approved delivery and deployment controls; and update status only when evidence supports the change.</w:t>
      </w:r>
    </w:p>
    <w:p>
      <w:r>
        <w:t>Keep separate decisions for policy alignment, legal compliance, procurement eligibility, funding eligibility, technical readiness and commercial viability.</w:t>
      </w:r>
    </w:p>
    <w:p>
      <w:pPr>
        <w:pStyle w:val="Heading1"/>
      </w:pPr>
      <w:r>
        <w:t>8. Recommended implementation sequence</w:t>
      </w:r>
    </w:p>
    <w:p>
      <w:pPr>
        <w:pStyle w:val="ListNumber"/>
      </w:pPr>
      <w:r>
        <w:t>Review `qai_datacenter_asaservice/assurance/requirements_assurance_matrix.md` for existing coverage of standards, applicability and evidence.</w:t>
      </w:r>
    </w:p>
    <w:p>
      <w:pPr>
        <w:pStyle w:val="ListNumber"/>
      </w:pPr>
      <w:r>
        <w:t>Update the Australia policy mapping with current authoritative Commonwealth, NSW and ACT sources, recording proposed items separately.</w:t>
      </w:r>
    </w:p>
    <w:p>
      <w:pPr>
        <w:pStyle w:val="ListNumber"/>
      </w:pPr>
      <w:r>
        <w:t>Decide whether to extend the existing assurance matrix or add a narrowly scoped standards applicability record.</w:t>
      </w:r>
    </w:p>
    <w:p>
      <w:pPr>
        <w:pStyle w:val="ListNumber"/>
      </w:pPr>
      <w:r>
        <w:t>Map selected requirements to the QAI Data Center Blueprint and QAI Deployment Operator contracts.</w:t>
      </w:r>
    </w:p>
    <w:p>
      <w:pPr>
        <w:pStyle w:val="ListNumber"/>
      </w:pPr>
      <w:r>
        <w:t>Define evidence and acceptance criteria for the first virtual validation environment.</w:t>
      </w:r>
    </w:p>
    <w:p>
      <w:pPr>
        <w:pStyle w:val="ListNumber"/>
      </w:pPr>
      <w:r>
        <w:t>Progress to infrastructure qualification and a bounded pilot only after the relevant stage-gate criteria are met.</w:t>
      </w:r>
    </w:p>
    <w:p>
      <w:pPr>
        <w:pStyle w:val="Heading1"/>
      </w:pPr>
      <w:r>
        <w:t>9. Current engineering priority</w:t>
      </w:r>
    </w:p>
    <w:p>
      <w:r>
        <w:t>Continue Phase 2 of the QAI Deployment Operator as the immediate engineering priority. Standards research should inform its contracts and assurance evidence, but should not trigger an unnecessary redesign of the existing platform.</w:t>
      </w:r>
    </w:p>
    <w:p>
      <w:r>
        <w:t>Commercial positioning: Bhadale IT can help clients plan, assess, deploy and manage AI and hybrid quantum-classical infrastructure through a staged, evidence-led service. This does not imply universal compliance, guaranteed investment returns, production quantum capability or unproven quantum advantage.</w:t>
      </w:r>
    </w:p>
    <w:p>
      <w:pPr>
        <w:pStyle w:val="Heading1"/>
      </w:pPr>
      <w:r>
        <w:t>10. Source register for verification</w:t>
      </w:r>
    </w:p>
    <w:p>
      <w:pPr>
        <w:pStyle w:val="ListBullet"/>
      </w:pPr>
      <w:r>
        <w:t>Australian Government — Expectations of data centres and AI infrastructure developers</w:t>
        <w:br/>
      </w:r>
      <w:r>
        <w:rPr>
          <w:color w:val="0563C1"/>
          <w:sz w:val="17"/>
        </w:rPr>
        <w:t>https://www.industry.gov.au/publications/expectations-data-centres-and-ai-infrastructure-developers</w:t>
      </w:r>
    </w:p>
    <w:p>
      <w:pPr>
        <w:pStyle w:val="ListBullet"/>
      </w:pPr>
      <w:r>
        <w:t>Australian Government — Getting it right: Building AI infrastructure that works for Australia (consultation paper)</w:t>
        <w:br/>
      </w:r>
      <w:r>
        <w:rPr>
          <w:color w:val="0563C1"/>
          <w:sz w:val="17"/>
        </w:rPr>
        <w:t>https://www.pmc.gov.au/resources/getting-it-right-building-ai-infrastructure-works-australia</w:t>
      </w:r>
    </w:p>
    <w:p>
      <w:pPr>
        <w:pStyle w:val="ListBullet"/>
      </w:pPr>
      <w:r>
        <w:t>Infrastructure NSW — current policy and guidelines; verify exact page and instrument</w:t>
        <w:br/>
      </w:r>
      <w:r>
        <w:rPr>
          <w:color w:val="0563C1"/>
          <w:sz w:val="17"/>
        </w:rPr>
        <w:t>https://www.infrastructure.nsw.gov.au/</w:t>
      </w:r>
    </w:p>
    <w:p>
      <w:pPr>
        <w:pStyle w:val="ListBullet"/>
      </w:pPr>
      <w:r>
        <w:t>Australian Government Architecture — Quantum Computing Standard</w:t>
        <w:br/>
      </w:r>
      <w:r>
        <w:rPr>
          <w:color w:val="0563C1"/>
          <w:sz w:val="17"/>
        </w:rPr>
        <w:t>https://architecture.digital.gov.au/standard/quantum-computing-standard</w:t>
      </w:r>
    </w:p>
    <w:p>
      <w:pPr>
        <w:pStyle w:val="ListBullet"/>
      </w:pPr>
      <w:r>
        <w:t>Australian Government — National Quantum Strategy, Theme 4</w:t>
        <w:br/>
      </w:r>
      <w:r>
        <w:rPr>
          <w:color w:val="0563C1"/>
          <w:sz w:val="17"/>
        </w:rPr>
        <w:t>https://www.industry.gov.au/publications/national-quantum-strategy/themes-national-quantum-strategy/theme-4-standards-and-frameworks-support-national-interests</w:t>
      </w:r>
    </w:p>
    <w:p>
      <w:pPr>
        <w:pStyle w:val="ListBullet"/>
      </w:pPr>
      <w:r>
        <w:t>SafeAI-Aus — AI data centres and compute governance tracker (secondary source; verify claims against primary sources)</w:t>
        <w:br/>
      </w:r>
      <w:r>
        <w:rPr>
          <w:color w:val="0563C1"/>
          <w:sz w:val="17"/>
        </w:rPr>
        <w:t>https://safeaiaus.org/safety-standards/ai-data-centres-compute-governance/#australian-policy-timeline</w:t>
      </w:r>
    </w:p>
    <w:p>
      <w:pPr>
        <w:pStyle w:val="Heading1"/>
      </w:pPr>
      <w:r>
        <w:t>11. Limitations and use</w:t>
      </w:r>
    </w:p>
    <w:p>
      <w:r>
        <w:t>This is a working research and implementation brief, not legal advice, an independent standards assessment, a certification statement, a site approval or an investment recommendation. Source status and applicability must be checked at the time of each live proposal or deployment. Standards editions, legislation, procurement rules and government policy may change.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brief • Evidence-led planning • Not a compliance certification or investment guarantee</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BHADALE IT  |  QAI-DCaaS  |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