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QAI Data Center as a Service</w:t>
      </w:r>
    </w:p>
    <w:p>
      <w:pPr>
        <w:jc w:val="center"/>
      </w:pPr>
      <w:r>
        <w:rPr>
          <w:b/>
          <w:color w:val="4472C4"/>
          <w:sz w:val="32"/>
        </w:rPr>
        <w:t>JIT Consumption, Resource Allocation and Lifecycle Model</w:t>
      </w:r>
    </w:p>
    <w:p>
      <w:pPr>
        <w:jc w:val="center"/>
      </w:pPr>
      <w:r>
        <w:t>Bhadale IT • Working Service and Commercial Model • 20 October 2026</w:t>
      </w:r>
    </w:p>
    <w:p>
      <w:pPr>
        <w:jc w:val="center"/>
      </w:pPr>
      <w:r>
        <w:rPr>
          <w:i/>
        </w:rPr>
        <w:t>A demand-driven, virtualized CPS and compute-orchestration service: clients select the capabilities they need, for the period they need them, with controlled allocation, transparent reporting and closure.</w:t>
      </w:r>
    </w:p>
    <w:p>
      <w:r>
        <w:br w:type="page"/>
      </w:r>
    </w:p>
    <w:p>
      <w:pPr>
        <w:pStyle w:val="Heading1"/>
      </w:pPr>
      <w:r>
        <w:t>1. Executive summary</w:t>
      </w:r>
    </w:p>
    <w:p>
      <w:r>
        <w:t>QAI Data Center as a Service (QAI-DCaaS) is a virtualized, problem-driven CPS engineering and compute-orchestration service—not a conventional physical data-centre infrastructure supplier. Bhadale IT focuses on virtualizing and composing domain and technical capabilities, integrating supported execution resources, and managing the lifecycle of client environments.</w:t>
      </w:r>
    </w:p>
    <w:p>
      <w:r>
        <w:t>Clients can select QAI Lab as a Service, SaaS, PaaS or IaaS, individually or in combination. They can request additional capabilities when needed and close eligible environments after a project or experiment. Just-in-Time (JIT) planning, allocation, reporting and closure support pay-as-you-go and subscription-based consumption, subject to explicit service definitions and commercial rules.</w:t>
      </w:r>
    </w:p>
    <w:p>
      <w:pPr>
        <w:pStyle w:val="Heading1"/>
      </w:pPr>
      <w:r>
        <w:t>2. Service proposition</w:t>
      </w:r>
    </w:p>
    <w:p>
      <w:pPr>
        <w:jc w:val="center"/>
      </w:pPr>
      <w:r>
        <w:rPr>
          <w:b/>
          <w:color w:val="1F4E79"/>
        </w:rPr>
        <w:t>Client Problem → Virtual CPS Model → Capability Composition → Resource Allocation → Execution → Validation → Results → Release and Reuse</w:t>
      </w:r>
    </w:p>
    <w:p>
      <w:r>
        <w:t>The platform represents the client problem and relevant domain and technical elements as virtual assets. It composes suitable capabilities and connects them to supported local, on-premises, cloud, HPC or quantum execution resources. The virtual representation remains separate from the underlying execution infrastructure, subject to interface compatibility and validated mappings.</w:t>
      </w:r>
    </w:p>
    <w:p>
      <w:pPr>
        <w:pStyle w:val="Heading1"/>
      </w:pPr>
      <w:r>
        <w:t>3. Client-selectable service models</w:t>
      </w:r>
    </w:p>
    <w:tbl>
      <w:tblPr>
        <w:tblStyle w:val="TableGrid"/>
        <w:tblW w:type="auto" w:w="0"/>
        <w:tblLook w:firstColumn="1" w:firstRow="1" w:lastColumn="0" w:lastRow="0" w:noHBand="0" w:noVBand="1" w:val="04A0"/>
      </w:tblPr>
      <w:tblGrid>
        <w:gridCol w:w="3312"/>
        <w:gridCol w:w="3312"/>
        <w:gridCol w:w="3312"/>
      </w:tblGrid>
      <w:tr>
        <w:tc>
          <w:tcPr>
            <w:tcW w:type="dxa" w:w="3312"/>
            <w:shd w:fill="D9EAF7"/>
          </w:tcPr>
          <w:p>
            <w:r>
              <w:rPr>
                <w:b/>
                <w:sz w:val="17"/>
              </w:rPr>
              <w:t>Service model</w:t>
            </w:r>
          </w:p>
        </w:tc>
        <w:tc>
          <w:tcPr>
            <w:tcW w:type="dxa" w:w="3312"/>
            <w:shd w:fill="D9EAF7"/>
          </w:tcPr>
          <w:p>
            <w:r>
              <w:rPr>
                <w:b/>
                <w:sz w:val="17"/>
              </w:rPr>
              <w:t>Scope</w:t>
            </w:r>
          </w:p>
        </w:tc>
        <w:tc>
          <w:tcPr>
            <w:tcW w:type="dxa" w:w="3312"/>
            <w:shd w:fill="D9EAF7"/>
          </w:tcPr>
          <w:p>
            <w:r>
              <w:rPr>
                <w:b/>
                <w:sz w:val="17"/>
              </w:rPr>
              <w:t>Possible consumption approach</w:t>
            </w:r>
          </w:p>
        </w:tc>
      </w:tr>
      <w:tr>
        <w:tc>
          <w:tcPr>
            <w:tcW w:type="dxa" w:w="3312"/>
          </w:tcPr>
          <w:p>
            <w:pPr>
              <w:spacing w:after="20"/>
            </w:pPr>
            <w:r>
              <w:rPr>
                <w:sz w:val="16"/>
              </w:rPr>
              <w:t>QAI Lab as a Service</w:t>
            </w:r>
          </w:p>
        </w:tc>
        <w:tc>
          <w:tcPr>
            <w:tcW w:type="dxa" w:w="3312"/>
          </w:tcPr>
          <w:p>
            <w:pPr>
              <w:spacing w:after="20"/>
            </w:pPr>
            <w:r>
              <w:rPr>
                <w:sz w:val="16"/>
              </w:rPr>
              <w:t>Research environments, virtual CPS models, simulation, emulation, experimentation, classical baselines and supported quantum/hybrid experiments.</w:t>
            </w:r>
          </w:p>
        </w:tc>
        <w:tc>
          <w:tcPr>
            <w:tcW w:type="dxa" w:w="3312"/>
          </w:tcPr>
          <w:p>
            <w:pPr>
              <w:spacing w:after="20"/>
            </w:pPr>
            <w:r>
              <w:rPr>
                <w:sz w:val="16"/>
              </w:rPr>
              <w:t>Per experiment, usage period, subscription or agreed project package.</w:t>
            </w:r>
          </w:p>
        </w:tc>
      </w:tr>
      <w:tr>
        <w:tc>
          <w:tcPr>
            <w:tcW w:type="dxa" w:w="3312"/>
          </w:tcPr>
          <w:p>
            <w:pPr>
              <w:spacing w:after="20"/>
            </w:pPr>
            <w:r>
              <w:rPr>
                <w:sz w:val="16"/>
              </w:rPr>
              <w:t>SaaS — Software as a Service</w:t>
            </w:r>
          </w:p>
        </w:tc>
        <w:tc>
          <w:tcPr>
            <w:tcW w:type="dxa" w:w="3312"/>
          </w:tcPr>
          <w:p>
            <w:pPr>
              <w:spacing w:after="20"/>
            </w:pPr>
            <w:r>
              <w:rPr>
                <w:sz w:val="16"/>
              </w:rPr>
              <w:t>Ready-to-use domain applications, workflows, analytics, decision support and problem-specific solutions.</w:t>
            </w:r>
          </w:p>
        </w:tc>
        <w:tc>
          <w:tcPr>
            <w:tcW w:type="dxa" w:w="3312"/>
          </w:tcPr>
          <w:p>
            <w:pPr>
              <w:spacing w:after="20"/>
            </w:pPr>
            <w:r>
              <w:rPr>
                <w:sz w:val="16"/>
              </w:rPr>
              <w:t>Subscription, usage-based pricing or agreed service package.</w:t>
            </w:r>
          </w:p>
        </w:tc>
      </w:tr>
      <w:tr>
        <w:tc>
          <w:tcPr>
            <w:tcW w:type="dxa" w:w="3312"/>
          </w:tcPr>
          <w:p>
            <w:pPr>
              <w:spacing w:after="20"/>
            </w:pPr>
            <w:r>
              <w:rPr>
                <w:sz w:val="16"/>
              </w:rPr>
              <w:t>PaaS — Platform as a Service</w:t>
            </w:r>
          </w:p>
        </w:tc>
        <w:tc>
          <w:tcPr>
            <w:tcW w:type="dxa" w:w="3312"/>
          </w:tcPr>
          <w:p>
            <w:pPr>
              <w:spacing w:after="20"/>
            </w:pPr>
            <w:r>
              <w:rPr>
                <w:sz w:val="16"/>
              </w:rPr>
              <w:t>CPS modelling, virtual asset composition, development tools, APIs, data integration, workflow orchestration, deployment interfaces and validation capabilities.</w:t>
            </w:r>
          </w:p>
        </w:tc>
        <w:tc>
          <w:tcPr>
            <w:tcW w:type="dxa" w:w="3312"/>
          </w:tcPr>
          <w:p>
            <w:pPr>
              <w:spacing w:after="20"/>
            </w:pPr>
            <w:r>
              <w:rPr>
                <w:sz w:val="16"/>
              </w:rPr>
              <w:t>Subscription, resource consumption or project-based engagement.</w:t>
            </w:r>
          </w:p>
        </w:tc>
      </w:tr>
      <w:tr>
        <w:tc>
          <w:tcPr>
            <w:tcW w:type="dxa" w:w="3312"/>
          </w:tcPr>
          <w:p>
            <w:pPr>
              <w:spacing w:after="20"/>
            </w:pPr>
            <w:r>
              <w:rPr>
                <w:sz w:val="16"/>
              </w:rPr>
              <w:t>IaaS — Infrastructure as a Service</w:t>
            </w:r>
          </w:p>
        </w:tc>
        <w:tc>
          <w:tcPr>
            <w:tcW w:type="dxa" w:w="3312"/>
          </w:tcPr>
          <w:p>
            <w:pPr>
              <w:spacing w:after="20"/>
            </w:pPr>
            <w:r>
              <w:rPr>
                <w:sz w:val="16"/>
              </w:rPr>
              <w:t>Logical access to virtualized compute, storage, networking and execution environments, with resource discovery, allocation and connectivity to supported infrastructure.</w:t>
            </w:r>
          </w:p>
        </w:tc>
        <w:tc>
          <w:tcPr>
            <w:tcW w:type="dxa" w:w="3312"/>
          </w:tcPr>
          <w:p>
            <w:pPr>
              <w:spacing w:after="20"/>
            </w:pPr>
            <w:r>
              <w:rPr>
                <w:sz w:val="16"/>
              </w:rPr>
              <w:t>Allocated-resource usage, consumption-based charging or subscription.</w:t>
            </w:r>
          </w:p>
        </w:tc>
      </w:tr>
    </w:tbl>
    <w:p/>
    <w:p>
      <w:r>
        <w:t>These are four service options within one architecture, not necessarily four separate environments. A client may start with one and add others as requirements evolve. Availability and pricing depend on the defined service and its dependencies.</w:t>
      </w:r>
    </w:p>
    <w:p>
      <w:pPr>
        <w:pStyle w:val="Heading1"/>
      </w:pPr>
      <w:r>
        <w:t>4. JIT service lifecycle</w:t>
      </w:r>
    </w:p>
    <w:tbl>
      <w:tblPr>
        <w:tblStyle w:val="TableGrid"/>
        <w:tblW w:type="auto" w:w="0"/>
        <w:tblLook w:firstColumn="1" w:firstRow="1" w:lastColumn="0" w:lastRow="0" w:noHBand="0" w:noVBand="1" w:val="04A0"/>
      </w:tblPr>
      <w:tblGrid>
        <w:gridCol w:w="4968"/>
        <w:gridCol w:w="4968"/>
      </w:tblGrid>
      <w:tr>
        <w:tc>
          <w:tcPr>
            <w:tcW w:type="dxa" w:w="4968"/>
            <w:shd w:fill="D9EAF7"/>
          </w:tcPr>
          <w:p>
            <w:r>
              <w:rPr>
                <w:b/>
                <w:sz w:val="17"/>
              </w:rPr>
              <w:t>Stage</w:t>
            </w:r>
          </w:p>
        </w:tc>
        <w:tc>
          <w:tcPr>
            <w:tcW w:type="dxa" w:w="4968"/>
            <w:shd w:fill="D9EAF7"/>
          </w:tcPr>
          <w:p>
            <w:r>
              <w:rPr>
                <w:b/>
                <w:sz w:val="17"/>
              </w:rPr>
              <w:t>Responsibility</w:t>
            </w:r>
          </w:p>
        </w:tc>
      </w:tr>
      <w:tr>
        <w:tc>
          <w:tcPr>
            <w:tcW w:type="dxa" w:w="4968"/>
          </w:tcPr>
          <w:p>
            <w:pPr>
              <w:spacing w:after="20"/>
            </w:pPr>
            <w:r>
              <w:rPr>
                <w:sz w:val="16"/>
              </w:rPr>
              <w:t>Request</w:t>
            </w:r>
          </w:p>
        </w:tc>
        <w:tc>
          <w:tcPr>
            <w:tcW w:type="dxa" w:w="4968"/>
          </w:tcPr>
          <w:p>
            <w:pPr>
              <w:spacing w:after="20"/>
            </w:pPr>
            <w:r>
              <w:rPr>
                <w:sz w:val="16"/>
              </w:rPr>
              <w:t>Client identifies a problem, experiment, project or workload.</w:t>
            </w:r>
          </w:p>
        </w:tc>
      </w:tr>
      <w:tr>
        <w:tc>
          <w:tcPr>
            <w:tcW w:type="dxa" w:w="4968"/>
          </w:tcPr>
          <w:p>
            <w:pPr>
              <w:spacing w:after="20"/>
            </w:pPr>
            <w:r>
              <w:rPr>
                <w:sz w:val="16"/>
              </w:rPr>
              <w:t>Plan</w:t>
            </w:r>
          </w:p>
        </w:tc>
        <w:tc>
          <w:tcPr>
            <w:tcW w:type="dxa" w:w="4968"/>
          </w:tcPr>
          <w:p>
            <w:pPr>
              <w:spacing w:after="20"/>
            </w:pPr>
            <w:r>
              <w:rPr>
                <w:sz w:val="16"/>
              </w:rPr>
              <w:t>Identify service model, domain assets, technical capabilities, dependencies and estimated costs.</w:t>
            </w:r>
          </w:p>
        </w:tc>
      </w:tr>
      <w:tr>
        <w:tc>
          <w:tcPr>
            <w:tcW w:type="dxa" w:w="4968"/>
          </w:tcPr>
          <w:p>
            <w:pPr>
              <w:spacing w:after="20"/>
            </w:pPr>
            <w:r>
              <w:rPr>
                <w:sz w:val="16"/>
              </w:rPr>
              <w:t>Assess</w:t>
            </w:r>
          </w:p>
        </w:tc>
        <w:tc>
          <w:tcPr>
            <w:tcW w:type="dxa" w:w="4968"/>
          </w:tcPr>
          <w:p>
            <w:pPr>
              <w:spacing w:after="20"/>
            </w:pPr>
            <w:r>
              <w:rPr>
                <w:sz w:val="16"/>
              </w:rPr>
              <w:t>Evaluate resource compatibility, availability, security, data governance and execution constraints.</w:t>
            </w:r>
          </w:p>
        </w:tc>
      </w:tr>
      <w:tr>
        <w:tc>
          <w:tcPr>
            <w:tcW w:type="dxa" w:w="4968"/>
          </w:tcPr>
          <w:p>
            <w:pPr>
              <w:spacing w:after="20"/>
            </w:pPr>
            <w:r>
              <w:rPr>
                <w:sz w:val="16"/>
              </w:rPr>
              <w:t>Approve</w:t>
            </w:r>
          </w:p>
        </w:tc>
        <w:tc>
          <w:tcPr>
            <w:tcW w:type="dxa" w:w="4968"/>
          </w:tcPr>
          <w:p>
            <w:pPr>
              <w:spacing w:after="20"/>
            </w:pPr>
            <w:r>
              <w:rPr>
                <w:sz w:val="16"/>
              </w:rPr>
              <w:t>Obtain required client or delegated approval for allocation and spending.</w:t>
            </w:r>
          </w:p>
        </w:tc>
      </w:tr>
      <w:tr>
        <w:tc>
          <w:tcPr>
            <w:tcW w:type="dxa" w:w="4968"/>
          </w:tcPr>
          <w:p>
            <w:pPr>
              <w:spacing w:after="20"/>
            </w:pPr>
            <w:r>
              <w:rPr>
                <w:sz w:val="16"/>
              </w:rPr>
              <w:t>Allocate</w:t>
            </w:r>
          </w:p>
        </w:tc>
        <w:tc>
          <w:tcPr>
            <w:tcW w:type="dxa" w:w="4968"/>
          </w:tcPr>
          <w:p>
            <w:pPr>
              <w:spacing w:after="20"/>
            </w:pPr>
            <w:r>
              <w:rPr>
                <w:sz w:val="16"/>
              </w:rPr>
              <w:t>Provision the approved virtual CPS environment and connect supported services/resources.</w:t>
            </w:r>
          </w:p>
        </w:tc>
      </w:tr>
      <w:tr>
        <w:tc>
          <w:tcPr>
            <w:tcW w:type="dxa" w:w="4968"/>
          </w:tcPr>
          <w:p>
            <w:pPr>
              <w:spacing w:after="20"/>
            </w:pPr>
            <w:r>
              <w:rPr>
                <w:sz w:val="16"/>
              </w:rPr>
              <w:t>Execute</w:t>
            </w:r>
          </w:p>
        </w:tc>
        <w:tc>
          <w:tcPr>
            <w:tcW w:type="dxa" w:w="4968"/>
          </w:tcPr>
          <w:p>
            <w:pPr>
              <w:spacing w:after="20"/>
            </w:pPr>
            <w:r>
              <w:rPr>
                <w:sz w:val="16"/>
              </w:rPr>
              <w:t>Run the experiment, development activity or operational workload.</w:t>
            </w:r>
          </w:p>
        </w:tc>
      </w:tr>
      <w:tr>
        <w:tc>
          <w:tcPr>
            <w:tcW w:type="dxa" w:w="4968"/>
          </w:tcPr>
          <w:p>
            <w:pPr>
              <w:spacing w:after="20"/>
            </w:pPr>
            <w:r>
              <w:rPr>
                <w:sz w:val="16"/>
              </w:rPr>
              <w:t>Monitor</w:t>
            </w:r>
          </w:p>
        </w:tc>
        <w:tc>
          <w:tcPr>
            <w:tcW w:type="dxa" w:w="4968"/>
          </w:tcPr>
          <w:p>
            <w:pPr>
              <w:spacing w:after="20"/>
            </w:pPr>
            <w:r>
              <w:rPr>
                <w:sz w:val="16"/>
              </w:rPr>
              <w:t>Record execution status, resource utilisation, consumption and agreed performance measures.</w:t>
            </w:r>
          </w:p>
        </w:tc>
      </w:tr>
      <w:tr>
        <w:tc>
          <w:tcPr>
            <w:tcW w:type="dxa" w:w="4968"/>
          </w:tcPr>
          <w:p>
            <w:pPr>
              <w:spacing w:after="20"/>
            </w:pPr>
            <w:r>
              <w:rPr>
                <w:sz w:val="16"/>
              </w:rPr>
              <w:t>Report</w:t>
            </w:r>
          </w:p>
        </w:tc>
        <w:tc>
          <w:tcPr>
            <w:tcW w:type="dxa" w:w="4968"/>
          </w:tcPr>
          <w:p>
            <w:pPr>
              <w:spacing w:after="20"/>
            </w:pPr>
            <w:r>
              <w:rPr>
                <w:sz w:val="16"/>
              </w:rPr>
              <w:t>Produce usage, cost, execution, validation and completion reports.</w:t>
            </w:r>
          </w:p>
        </w:tc>
      </w:tr>
      <w:tr>
        <w:tc>
          <w:tcPr>
            <w:tcW w:type="dxa" w:w="4968"/>
          </w:tcPr>
          <w:p>
            <w:pPr>
              <w:spacing w:after="20"/>
            </w:pPr>
            <w:r>
              <w:rPr>
                <w:sz w:val="16"/>
              </w:rPr>
              <w:t>Close down</w:t>
            </w:r>
          </w:p>
        </w:tc>
        <w:tc>
          <w:tcPr>
            <w:tcW w:type="dxa" w:w="4968"/>
          </w:tcPr>
          <w:p>
            <w:pPr>
              <w:spacing w:after="20"/>
            </w:pPr>
            <w:r>
              <w:rPr>
                <w:sz w:val="16"/>
              </w:rPr>
              <w:t>Close the environment according to approved lifecycle, security and data-retention requirements.</w:t>
            </w:r>
          </w:p>
        </w:tc>
      </w:tr>
      <w:tr>
        <w:tc>
          <w:tcPr>
            <w:tcW w:type="dxa" w:w="4968"/>
          </w:tcPr>
          <w:p>
            <w:pPr>
              <w:spacing w:after="20"/>
            </w:pPr>
            <w:r>
              <w:rPr>
                <w:sz w:val="16"/>
              </w:rPr>
              <w:t>Release and reuse</w:t>
            </w:r>
          </w:p>
        </w:tc>
        <w:tc>
          <w:tcPr>
            <w:tcW w:type="dxa" w:w="4968"/>
          </w:tcPr>
          <w:p>
            <w:pPr>
              <w:spacing w:after="20"/>
            </w:pPr>
            <w:r>
              <w:rPr>
                <w:sz w:val="16"/>
              </w:rPr>
              <w:t>Return eligible resources to the available pool and retain only permitted records/data.</w:t>
            </w:r>
          </w:p>
        </w:tc>
      </w:tr>
    </w:tbl>
    <w:p/>
    <w:p>
      <w:pPr>
        <w:pStyle w:val="Heading1"/>
      </w:pPr>
      <w:r>
        <w:t>5. Commercial consumption models</w:t>
      </w:r>
    </w:p>
    <w:tbl>
      <w:tblPr>
        <w:tblStyle w:val="TableGrid"/>
        <w:tblW w:type="auto" w:w="0"/>
        <w:tblLook w:firstColumn="1" w:firstRow="1" w:lastColumn="0" w:lastRow="0" w:noHBand="0" w:noVBand="1" w:val="04A0"/>
      </w:tblPr>
      <w:tblGrid>
        <w:gridCol w:w="3312"/>
        <w:gridCol w:w="3312"/>
        <w:gridCol w:w="3312"/>
      </w:tblGrid>
      <w:tr>
        <w:tc>
          <w:tcPr>
            <w:tcW w:type="dxa" w:w="3312"/>
            <w:shd w:fill="D9EAF7"/>
          </w:tcPr>
          <w:p>
            <w:r>
              <w:rPr>
                <w:b/>
                <w:sz w:val="17"/>
              </w:rPr>
              <w:t>Model</w:t>
            </w:r>
          </w:p>
        </w:tc>
        <w:tc>
          <w:tcPr>
            <w:tcW w:type="dxa" w:w="3312"/>
            <w:shd w:fill="D9EAF7"/>
          </w:tcPr>
          <w:p>
            <w:r>
              <w:rPr>
                <w:b/>
                <w:sz w:val="17"/>
              </w:rPr>
              <w:t>What the client pays for</w:t>
            </w:r>
          </w:p>
        </w:tc>
        <w:tc>
          <w:tcPr>
            <w:tcW w:type="dxa" w:w="3312"/>
            <w:shd w:fill="D9EAF7"/>
          </w:tcPr>
          <w:p>
            <w:r>
              <w:rPr>
                <w:b/>
                <w:sz w:val="17"/>
              </w:rPr>
              <w:t>Important definition</w:t>
            </w:r>
          </w:p>
        </w:tc>
      </w:tr>
      <w:tr>
        <w:tc>
          <w:tcPr>
            <w:tcW w:type="dxa" w:w="3312"/>
          </w:tcPr>
          <w:p>
            <w:pPr>
              <w:spacing w:after="20"/>
            </w:pPr>
            <w:r>
              <w:rPr>
                <w:sz w:val="16"/>
              </w:rPr>
              <w:t>Subscription</w:t>
            </w:r>
          </w:p>
        </w:tc>
        <w:tc>
          <w:tcPr>
            <w:tcW w:type="dxa" w:w="3312"/>
          </w:tcPr>
          <w:p>
            <w:pPr>
              <w:spacing w:after="20"/>
            </w:pPr>
            <w:r>
              <w:rPr>
                <w:sz w:val="16"/>
              </w:rPr>
              <w:t>Defined access, capabilities, service limits or support over a recurring period.</w:t>
            </w:r>
          </w:p>
        </w:tc>
        <w:tc>
          <w:tcPr>
            <w:tcW w:type="dxa" w:w="3312"/>
          </w:tcPr>
          <w:p>
            <w:pPr>
              <w:spacing w:after="20"/>
            </w:pPr>
            <w:r>
              <w:rPr>
                <w:sz w:val="16"/>
              </w:rPr>
              <w:t>Included features, limits, support, renewal and cancellation conditions.</w:t>
            </w:r>
          </w:p>
        </w:tc>
      </w:tr>
      <w:tr>
        <w:tc>
          <w:tcPr>
            <w:tcW w:type="dxa" w:w="3312"/>
          </w:tcPr>
          <w:p>
            <w:pPr>
              <w:spacing w:after="20"/>
            </w:pPr>
            <w:r>
              <w:rPr>
                <w:sz w:val="16"/>
              </w:rPr>
              <w:t>Pay-as-you-go</w:t>
            </w:r>
          </w:p>
        </w:tc>
        <w:tc>
          <w:tcPr>
            <w:tcW w:type="dxa" w:w="3312"/>
          </w:tcPr>
          <w:p>
            <w:pPr>
              <w:spacing w:after="20"/>
            </w:pPr>
            <w:r>
              <w:rPr>
                <w:sz w:val="16"/>
              </w:rPr>
              <w:t>Measurable usage such as eligible execution time, allocated resources, experiments or API consumption.</w:t>
            </w:r>
          </w:p>
        </w:tc>
        <w:tc>
          <w:tcPr>
            <w:tcW w:type="dxa" w:w="3312"/>
          </w:tcPr>
          <w:p>
            <w:pPr>
              <w:spacing w:after="20"/>
            </w:pPr>
            <w:r>
              <w:rPr>
                <w:sz w:val="16"/>
              </w:rPr>
              <w:t>Metering unit, billing interval, rounding, minimums and treatment of idle allocations.</w:t>
            </w:r>
          </w:p>
        </w:tc>
      </w:tr>
      <w:tr>
        <w:tc>
          <w:tcPr>
            <w:tcW w:type="dxa" w:w="3312"/>
          </w:tcPr>
          <w:p>
            <w:pPr>
              <w:spacing w:after="20"/>
            </w:pPr>
            <w:r>
              <w:rPr>
                <w:sz w:val="16"/>
              </w:rPr>
              <w:t>Project-based services</w:t>
            </w:r>
          </w:p>
        </w:tc>
        <w:tc>
          <w:tcPr>
            <w:tcW w:type="dxa" w:w="3312"/>
          </w:tcPr>
          <w:p>
            <w:pPr>
              <w:spacing w:after="20"/>
            </w:pPr>
            <w:r>
              <w:rPr>
                <w:sz w:val="16"/>
              </w:rPr>
              <w:t>Defined work packages such as engineering, integration, validation, training or project delivery.</w:t>
            </w:r>
          </w:p>
        </w:tc>
        <w:tc>
          <w:tcPr>
            <w:tcW w:type="dxa" w:w="3312"/>
          </w:tcPr>
          <w:p>
            <w:pPr>
              <w:spacing w:after="20"/>
            </w:pPr>
            <w:r>
              <w:rPr>
                <w:sz w:val="16"/>
              </w:rPr>
              <w:t>Scope, deliverables, assumptions, milestones, acceptance and change control.</w:t>
            </w:r>
          </w:p>
        </w:tc>
      </w:tr>
      <w:tr>
        <w:tc>
          <w:tcPr>
            <w:tcW w:type="dxa" w:w="3312"/>
          </w:tcPr>
          <w:p>
            <w:pPr>
              <w:spacing w:after="20"/>
            </w:pPr>
            <w:r>
              <w:rPr>
                <w:sz w:val="16"/>
              </w:rPr>
              <w:t>Hybrid commercial model</w:t>
            </w:r>
          </w:p>
        </w:tc>
        <w:tc>
          <w:tcPr>
            <w:tcW w:type="dxa" w:w="3312"/>
          </w:tcPr>
          <w:p>
            <w:pPr>
              <w:spacing w:after="20"/>
            </w:pPr>
            <w:r>
              <w:rPr>
                <w:sz w:val="16"/>
              </w:rPr>
              <w:t>Combination of subscription, usage and project charges.</w:t>
            </w:r>
          </w:p>
        </w:tc>
        <w:tc>
          <w:tcPr>
            <w:tcW w:type="dxa" w:w="3312"/>
          </w:tcPr>
          <w:p>
            <w:pPr>
              <w:spacing w:after="20"/>
            </w:pPr>
            <w:r>
              <w:rPr>
                <w:sz w:val="16"/>
              </w:rPr>
              <w:t>Separate included services, variable usage and third-party pass-through costs.</w:t>
            </w:r>
          </w:p>
        </w:tc>
      </w:tr>
    </w:tbl>
    <w:p/>
    <w:p>
      <w:r>
        <w:t>Allocation, consumption and billable usage are not necessarily the same. Charging rules should explicitly cover minimum commitments, idle allocations, third-party services, storage retention, failed jobs where relevant, closure conditions and cancellation.</w:t>
      </w:r>
    </w:p>
    <w:p>
      <w:pPr>
        <w:pStyle w:val="Heading1"/>
      </w:pPr>
      <w:r>
        <w:t>6. Infrastructure boundary and external connectivity</w:t>
      </w:r>
    </w:p>
    <w:p>
      <w:r>
        <w:t>The core QAI-DCaaS offer does not mean that Bhadale IT manufactures or supplies physical servers, racks, data-centre buildings, quantum processors, dilution refrigerators or specialist quantum-control hardware. The service can integrate supported client-owned or third-party resources through defined interfaces, subject to access, availability, security, technical compatibility and commercial arrangements.</w:t>
      </w:r>
    </w:p>
    <w:p>
      <w:pPr>
        <w:pStyle w:val="ListBullet"/>
      </w:pPr>
      <w:r>
        <w:t>Client-owned on-premises infrastructure.</w:t>
      </w:r>
    </w:p>
    <w:p>
      <w:pPr>
        <w:pStyle w:val="ListBullet"/>
      </w:pPr>
      <w:r>
        <w:t>External HPC systems and cloud compute/accelerator services.</w:t>
      </w:r>
    </w:p>
    <w:p>
      <w:pPr>
        <w:pStyle w:val="ListBullet"/>
      </w:pPr>
      <w:r>
        <w:t>Quantum simulators and emulators.</w:t>
      </w:r>
    </w:p>
    <w:p>
      <w:pPr>
        <w:pStyle w:val="ListBullet"/>
      </w:pPr>
      <w:r>
        <w:t>Remote or partner-provided quantum computing services.</w:t>
      </w:r>
    </w:p>
    <w:p>
      <w:pPr>
        <w:pStyle w:val="ListBullet"/>
      </w:pPr>
      <w:r>
        <w:t>Physical quantum systems where suitable interfaces and service arrangements exist.</w:t>
      </w:r>
    </w:p>
    <w:p>
      <w:pPr>
        <w:pStyle w:val="Heading1"/>
      </w:pPr>
      <w:r>
        <w:t>7. Reporting, metering and resource efficiency</w:t>
      </w:r>
    </w:p>
    <w:p>
      <w:r>
        <w:t>Reporting should be designed around agreed client needs and the service contract. Candidate measures include:</w:t>
      </w:r>
    </w:p>
    <w:p>
      <w:pPr>
        <w:pStyle w:val="ListBullet"/>
      </w:pPr>
      <w:r>
        <w:t>Time from approved request to usable environment.</w:t>
      </w:r>
    </w:p>
    <w:p>
      <w:pPr>
        <w:pStyle w:val="ListBullet"/>
      </w:pPr>
      <w:r>
        <w:t>Allocated versus actually consumed resources.</w:t>
      </w:r>
    </w:p>
    <w:p>
      <w:pPr>
        <w:pStyle w:val="ListBullet"/>
      </w:pPr>
      <w:r>
        <w:t>Cost per experiment, workload or project.</w:t>
      </w:r>
    </w:p>
    <w:p>
      <w:pPr>
        <w:pStyle w:val="ListBullet"/>
      </w:pPr>
      <w:r>
        <w:t>Resources released and successfully reused.</w:t>
      </w:r>
    </w:p>
    <w:p>
      <w:pPr>
        <w:pStyle w:val="ListBullet"/>
      </w:pPr>
      <w:r>
        <w:t>Execution results, validation evidence and known limitations.</w:t>
      </w:r>
    </w:p>
    <w:p>
      <w:pPr>
        <w:pStyle w:val="ListBullet"/>
      </w:pPr>
      <w:r>
        <w:t>Energy consumption where reliable measurements are available.</w:t>
      </w:r>
    </w:p>
    <w:p>
      <w:pPr>
        <w:pStyle w:val="ListBullet"/>
      </w:pPr>
      <w:r>
        <w:t>Water consumption where relevant and measurable.</w:t>
      </w:r>
    </w:p>
    <w:p>
      <w:pPr>
        <w:pStyle w:val="ListBullet"/>
      </w:pPr>
      <w:r>
        <w:t>Completion-report coverage and closure compliance.</w:t>
      </w:r>
    </w:p>
    <w:p>
      <w:r>
        <w:t>JIT provisioning can reduce unnecessary long-lived allocations, but environmental savings must be measured. Closing a virtual environment does not automatically power down physical infrastructure or guarantee energy or water savings.</w:t>
      </w:r>
    </w:p>
    <w:p>
      <w:pPr>
        <w:pStyle w:val="Heading1"/>
      </w:pPr>
      <w:r>
        <w:t>8. Logical capabilities to implement</w:t>
      </w:r>
    </w:p>
    <w:tbl>
      <w:tblPr>
        <w:tblStyle w:val="TableGrid"/>
        <w:tblW w:type="auto" w:w="0"/>
        <w:tblLook w:firstColumn="1" w:firstRow="1" w:lastColumn="0" w:lastRow="0" w:noHBand="0" w:noVBand="1" w:val="04A0"/>
      </w:tblPr>
      <w:tblGrid>
        <w:gridCol w:w="4968"/>
        <w:gridCol w:w="4968"/>
      </w:tblGrid>
      <w:tr>
        <w:tc>
          <w:tcPr>
            <w:tcW w:type="dxa" w:w="4968"/>
            <w:shd w:fill="D9EAF7"/>
          </w:tcPr>
          <w:p>
            <w:r>
              <w:rPr>
                <w:b/>
                <w:sz w:val="17"/>
              </w:rPr>
              <w:t>Capability</w:t>
            </w:r>
          </w:p>
        </w:tc>
        <w:tc>
          <w:tcPr>
            <w:tcW w:type="dxa" w:w="4968"/>
            <w:shd w:fill="D9EAF7"/>
          </w:tcPr>
          <w:p>
            <w:r>
              <w:rPr>
                <w:b/>
                <w:sz w:val="17"/>
              </w:rPr>
              <w:t>Responsibility</w:t>
            </w:r>
          </w:p>
        </w:tc>
      </w:tr>
      <w:tr>
        <w:tc>
          <w:tcPr>
            <w:tcW w:type="dxa" w:w="4968"/>
          </w:tcPr>
          <w:p>
            <w:pPr>
              <w:spacing w:after="20"/>
            </w:pPr>
            <w:r>
              <w:rPr>
                <w:sz w:val="16"/>
              </w:rPr>
              <w:t>Service catalogue</w:t>
            </w:r>
          </w:p>
        </w:tc>
        <w:tc>
          <w:tcPr>
            <w:tcW w:type="dxa" w:w="4968"/>
          </w:tcPr>
          <w:p>
            <w:pPr>
              <w:spacing w:after="20"/>
            </w:pPr>
            <w:r>
              <w:rPr>
                <w:sz w:val="16"/>
              </w:rPr>
              <w:t>Define QAI Lab, SaaS, PaaS and IaaS options, boundaries and selectable components.</w:t>
            </w:r>
          </w:p>
        </w:tc>
      </w:tr>
      <w:tr>
        <w:tc>
          <w:tcPr>
            <w:tcW w:type="dxa" w:w="4968"/>
          </w:tcPr>
          <w:p>
            <w:pPr>
              <w:spacing w:after="20"/>
            </w:pPr>
            <w:r>
              <w:rPr>
                <w:sz w:val="16"/>
              </w:rPr>
              <w:t>JIT request and planning</w:t>
            </w:r>
          </w:p>
        </w:tc>
        <w:tc>
          <w:tcPr>
            <w:tcW w:type="dxa" w:w="4968"/>
          </w:tcPr>
          <w:p>
            <w:pPr>
              <w:spacing w:after="20"/>
            </w:pPr>
            <w:r>
              <w:rPr>
                <w:sz w:val="16"/>
              </w:rPr>
              <w:t>Convert requests into scoped, costed resource and service requirements.</w:t>
            </w:r>
          </w:p>
        </w:tc>
      </w:tr>
      <w:tr>
        <w:tc>
          <w:tcPr>
            <w:tcW w:type="dxa" w:w="4968"/>
          </w:tcPr>
          <w:p>
            <w:pPr>
              <w:spacing w:after="20"/>
            </w:pPr>
            <w:r>
              <w:rPr>
                <w:sz w:val="16"/>
              </w:rPr>
              <w:t>Resource discovery and compatibility</w:t>
            </w:r>
          </w:p>
        </w:tc>
        <w:tc>
          <w:tcPr>
            <w:tcW w:type="dxa" w:w="4968"/>
          </w:tcPr>
          <w:p>
            <w:pPr>
              <w:spacing w:after="20"/>
            </w:pPr>
            <w:r>
              <w:rPr>
                <w:sz w:val="16"/>
              </w:rPr>
              <w:t>Identify suitable resources and check constraints.</w:t>
            </w:r>
          </w:p>
        </w:tc>
      </w:tr>
      <w:tr>
        <w:tc>
          <w:tcPr>
            <w:tcW w:type="dxa" w:w="4968"/>
          </w:tcPr>
          <w:p>
            <w:pPr>
              <w:spacing w:after="20"/>
            </w:pPr>
            <w:r>
              <w:rPr>
                <w:sz w:val="16"/>
              </w:rPr>
              <w:t>Allocation and provisioning</w:t>
            </w:r>
          </w:p>
        </w:tc>
        <w:tc>
          <w:tcPr>
            <w:tcW w:type="dxa" w:w="4968"/>
          </w:tcPr>
          <w:p>
            <w:pPr>
              <w:spacing w:after="20"/>
            </w:pPr>
            <w:r>
              <w:rPr>
                <w:sz w:val="16"/>
              </w:rPr>
              <w:t>Create the approved virtual environment and connect supported services.</w:t>
            </w:r>
          </w:p>
        </w:tc>
      </w:tr>
      <w:tr>
        <w:tc>
          <w:tcPr>
            <w:tcW w:type="dxa" w:w="4968"/>
          </w:tcPr>
          <w:p>
            <w:pPr>
              <w:spacing w:after="20"/>
            </w:pPr>
            <w:r>
              <w:rPr>
                <w:sz w:val="16"/>
              </w:rPr>
              <w:t>Usage metering and cost reporting</w:t>
            </w:r>
          </w:p>
        </w:tc>
        <w:tc>
          <w:tcPr>
            <w:tcW w:type="dxa" w:w="4968"/>
          </w:tcPr>
          <w:p>
            <w:pPr>
              <w:spacing w:after="20"/>
            </w:pPr>
            <w:r>
              <w:rPr>
                <w:sz w:val="16"/>
              </w:rPr>
              <w:t>Record billable usage and separate platform charges from third-party costs.</w:t>
            </w:r>
          </w:p>
        </w:tc>
      </w:tr>
      <w:tr>
        <w:tc>
          <w:tcPr>
            <w:tcW w:type="dxa" w:w="4968"/>
          </w:tcPr>
          <w:p>
            <w:pPr>
              <w:spacing w:after="20"/>
            </w:pPr>
            <w:r>
              <w:rPr>
                <w:sz w:val="16"/>
              </w:rPr>
              <w:t>Monitoring and reporting</w:t>
            </w:r>
          </w:p>
        </w:tc>
        <w:tc>
          <w:tcPr>
            <w:tcW w:type="dxa" w:w="4968"/>
          </w:tcPr>
          <w:p>
            <w:pPr>
              <w:spacing w:after="20"/>
            </w:pPr>
            <w:r>
              <w:rPr>
                <w:sz w:val="16"/>
              </w:rPr>
              <w:t>Capture execution status, utilisation, results and agreed metrics.</w:t>
            </w:r>
          </w:p>
        </w:tc>
      </w:tr>
      <w:tr>
        <w:tc>
          <w:tcPr>
            <w:tcW w:type="dxa" w:w="4968"/>
          </w:tcPr>
          <w:p>
            <w:pPr>
              <w:spacing w:after="20"/>
            </w:pPr>
            <w:r>
              <w:rPr>
                <w:sz w:val="16"/>
              </w:rPr>
              <w:t>Lifecycle closure</w:t>
            </w:r>
          </w:p>
        </w:tc>
        <w:tc>
          <w:tcPr>
            <w:tcW w:type="dxa" w:w="4968"/>
          </w:tcPr>
          <w:p>
            <w:pPr>
              <w:spacing w:after="20"/>
            </w:pPr>
            <w:r>
              <w:rPr>
                <w:sz w:val="16"/>
              </w:rPr>
              <w:t>Close environments, apply retention rules and release eligible resources.</w:t>
            </w:r>
          </w:p>
        </w:tc>
      </w:tr>
      <w:tr>
        <w:tc>
          <w:tcPr>
            <w:tcW w:type="dxa" w:w="4968"/>
          </w:tcPr>
          <w:p>
            <w:pPr>
              <w:spacing w:after="20"/>
            </w:pPr>
            <w:r>
              <w:rPr>
                <w:sz w:val="16"/>
              </w:rPr>
              <w:t>Governance and audit evidence</w:t>
            </w:r>
          </w:p>
        </w:tc>
        <w:tc>
          <w:tcPr>
            <w:tcW w:type="dxa" w:w="4968"/>
          </w:tcPr>
          <w:p>
            <w:pPr>
              <w:spacing w:after="20"/>
            </w:pPr>
            <w:r>
              <w:rPr>
                <w:sz w:val="16"/>
              </w:rPr>
              <w:t>Record approvals, changes, exceptions and completion evidence.</w:t>
            </w:r>
          </w:p>
        </w:tc>
      </w:tr>
      <w:tr>
        <w:tc>
          <w:tcPr>
            <w:tcW w:type="dxa" w:w="4968"/>
          </w:tcPr>
          <w:p>
            <w:pPr>
              <w:spacing w:after="20"/>
            </w:pPr>
            <w:r>
              <w:rPr>
                <w:sz w:val="16"/>
              </w:rPr>
              <w:t>Subscription and billing integration</w:t>
            </w:r>
          </w:p>
        </w:tc>
        <w:tc>
          <w:tcPr>
            <w:tcW w:type="dxa" w:w="4968"/>
          </w:tcPr>
          <w:p>
            <w:pPr>
              <w:spacing w:after="20"/>
            </w:pPr>
            <w:r>
              <w:rPr>
                <w:sz w:val="16"/>
              </w:rPr>
              <w:t>Map agreements and usage records to agreed commercial rules.</w:t>
            </w:r>
          </w:p>
        </w:tc>
      </w:tr>
    </w:tbl>
    <w:p/>
    <w:p>
      <w:r>
        <w:t>These are logical responsibilities, not a recommendation to create nine new folders. First map them to existing repository files and contracts, identify gaps, and extend canonical implementation locations.</w:t>
      </w:r>
    </w:p>
    <w:p>
      <w:pPr>
        <w:pStyle w:val="Heading1"/>
      </w:pPr>
      <w:r>
        <w:t>9. Recommended service-definition checklist</w:t>
      </w:r>
    </w:p>
    <w:p>
      <w:pPr>
        <w:pStyle w:val="ListBullet"/>
      </w:pPr>
      <w:r>
        <w:t>What the client can request and which service model applies.</w:t>
      </w:r>
    </w:p>
    <w:p>
      <w:pPr>
        <w:pStyle w:val="ListBullet"/>
      </w:pPr>
      <w:r>
        <w:t>What is provisioned by QAI-DCaaS and what remains client-owned or third-party supplied.</w:t>
      </w:r>
    </w:p>
    <w:p>
      <w:pPr>
        <w:pStyle w:val="ListBullet"/>
      </w:pPr>
      <w:r>
        <w:t>What is included in subscription fees and what is billed by usage or project.</w:t>
      </w:r>
    </w:p>
    <w:p>
      <w:pPr>
        <w:pStyle w:val="ListBullet"/>
      </w:pPr>
      <w:r>
        <w:t>Which approvals, security controls, limits and dependencies apply.</w:t>
      </w:r>
    </w:p>
    <w:p>
      <w:pPr>
        <w:pStyle w:val="ListBullet"/>
      </w:pPr>
      <w:r>
        <w:t>What is metered, reported and retained.</w:t>
      </w:r>
    </w:p>
    <w:p>
      <w:pPr>
        <w:pStyle w:val="ListBullet"/>
      </w:pPr>
      <w:r>
        <w:t>How environment closure, data retention, deletion and resource release work.</w:t>
      </w:r>
    </w:p>
    <w:p>
      <w:pPr>
        <w:pStyle w:val="ListBullet"/>
      </w:pPr>
      <w:r>
        <w:t>How changes, failures, third-party availability and exceptions are handled.</w:t>
      </w:r>
    </w:p>
    <w:p>
      <w:pPr>
        <w:pStyle w:val="ListBullet"/>
      </w:pPr>
      <w:r>
        <w:t>What acceptance criteria and service-level commitments are contractually agreed.</w:t>
      </w:r>
    </w:p>
    <w:p>
      <w:pPr>
        <w:pStyle w:val="Heading1"/>
      </w:pPr>
      <w:r>
        <w:t>10. Implementation recommendation</w:t>
      </w:r>
    </w:p>
    <w:p>
      <w:r>
        <w:t>Define the service catalogue and consumption rules before implementing billing automation. Then map the logical capabilities to existing `qai_datacenter_asaservice/` and `qai_deployment_operator/` files, identify gaps, and prioritize the controlled lifecycle: request, compatibility assessment, deployment plan, approval/execution, evidence capture, reporting and closure.</w:t>
      </w:r>
    </w:p>
    <w:p>
      <w:r>
        <w:t>The commercial promise is that clients consume the capabilities they need, for as long as they need them, through the service model that fits their problem—with controlled allocation, transparent reporting and appropriate closure. Benefits and savings should be measured rather than guaranteed.</w:t>
      </w:r>
    </w:p>
    <w:p>
      <w:pPr>
        <w:pStyle w:val="Heading1"/>
      </w:pPr>
      <w:r>
        <w:t>11. Document status and limitations</w:t>
      </w:r>
    </w:p>
    <w:p>
      <w:r>
        <w:t>This is a working service and commercial model. It is not a binding price list, service-level agreement, guarantee of resource availability, or claim that all described capabilities are already implemented. Final scope, pricing, metering, security, data retention and service levels must be defined and validated for each offering and deployment.</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Working service-model document • Final scope and commercial rules require project-specific agreement</w:t>
    </w:r>
    <w:r>
      <w:t xml:space="preserve">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BHADALE IT | QAI-DCaaS | JIT SERVICE MODEL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