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1200"/>
        <w:jc w:val="center"/>
      </w:pPr>
      <w:r/>
      <w:r>
        <w:rPr>
          <w:b/>
          <w:color w:val="1F4E79"/>
          <w:sz w:val="28"/>
        </w:rPr>
        <w:t>BHADALE IT</w:t>
      </w:r>
    </w:p>
    <w:p>
      <w:pPr>
        <w:pStyle w:val="Title"/>
        <w:jc w:val="center"/>
      </w:pPr>
      <w:r>
        <w:t>QAI Deployment Boundaries &amp; Client Integration Model</w:t>
      </w:r>
    </w:p>
    <w:p>
      <w:pPr>
        <w:spacing w:after="80"/>
        <w:jc w:val="center"/>
      </w:pPr>
      <w:r>
        <w:t>Separating access environments, CPS systems, services, and execution infrastructure</w:t>
      </w:r>
    </w:p>
    <w:p>
      <w:pPr>
        <w:spacing w:after="80"/>
        <w:jc w:val="center"/>
      </w:pPr>
      <w:r>
        <w:t>Architecture and implementation planning | Version 1.0 | 20 October 2026</w:t>
      </w:r>
    </w:p>
    <w:p>
      <w:r>
        <w:br w:type="page"/>
      </w:r>
    </w:p>
    <w:p>
      <w:pPr>
        <w:pStyle w:val="Heading1"/>
      </w:pPr>
      <w:r>
        <w:t>1. Purpose and executive summary</w:t>
      </w:r>
    </w:p>
    <w:p>
      <w:pPr>
        <w:spacing w:after="80"/>
      </w:pPr>
      <w:r>
        <w:t>This document refines the client environment-based deployment model by making the boundaries between user access environments, QAI CPS systems, service models, deployment mechanisms, and execution infrastructure explicit.</w:t>
      </w:r>
    </w:p>
    <w:p>
      <w:pPr>
        <w:spacing w:after="80"/>
      </w:pPr>
      <w:r>
        <w:t>A virtual desktop is an optional access environment. It is not a QAI CPS virtual asset, a service model, or an execution resource. Enterprise clients may choose native applications, existing managed workstations, APIs, command-line tools, or direct service integration, and may avoid virtual desktops where virtualization introduces limitations.</w:t>
      </w:r>
    </w:p>
    <w:p>
      <w:pPr>
        <w:spacing w:after="80"/>
      </w:pPr>
      <w:r>
        <w:t>Deployment starts with the client's problem, users, policies, existing assets, data boundaries, and operating constraints. The goal is to reduce avoidable setup effort without forcing every client to adopt the complete QAI platform or one hosting model.</w:t>
      </w:r>
    </w:p>
    <w:p>
      <w:pPr>
        <w:pStyle w:val="Heading1"/>
      </w:pPr>
      <w:r>
        <w:t>2. Five distinct architectural concepts</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rPr>
                <w:b/>
                <w:sz w:val="15"/>
              </w:rPr>
              <w:t>Concept</w:t>
            </w:r>
          </w:p>
        </w:tc>
        <w:tc>
          <w:tcPr>
            <w:tcW w:type="dxa" w:w="2556"/>
            <w:shd w:fill="D9EAF7"/>
          </w:tcPr>
          <w:p>
            <w:r>
              <w:rPr>
                <w:b/>
                <w:sz w:val="15"/>
              </w:rPr>
              <w:t>Defines</w:t>
            </w:r>
          </w:p>
        </w:tc>
        <w:tc>
          <w:tcPr>
            <w:tcW w:type="dxa" w:w="2556"/>
            <w:shd w:fill="D9EAF7"/>
          </w:tcPr>
          <w:p>
            <w:r>
              <w:rPr>
                <w:b/>
                <w:sz w:val="15"/>
              </w:rPr>
              <w:t>Examples</w:t>
            </w:r>
          </w:p>
        </w:tc>
        <w:tc>
          <w:tcPr>
            <w:tcW w:type="dxa" w:w="2556"/>
            <w:shd w:fill="D9EAF7"/>
          </w:tcPr>
          <w:p>
            <w:r>
              <w:rPr>
                <w:b/>
                <w:sz w:val="15"/>
              </w:rPr>
              <w:t>Does not mean</w:t>
            </w:r>
          </w:p>
        </w:tc>
      </w:tr>
      <w:tr>
        <w:tc>
          <w:tcPr>
            <w:tcW w:type="dxa" w:w="2556"/>
          </w:tcPr>
          <w:p>
            <w:pPr>
              <w:spacing w:after="20"/>
            </w:pPr>
            <w:r>
              <w:rPr>
                <w:rFonts w:ascii="Aptos" w:hAnsi="Aptos"/>
                <w:sz w:val="15"/>
              </w:rPr>
              <w:t>QAI ecosystem boundary</w:t>
            </w:r>
          </w:p>
        </w:tc>
        <w:tc>
          <w:tcPr>
            <w:tcW w:type="dxa" w:w="2556"/>
          </w:tcPr>
          <w:p>
            <w:pPr>
              <w:spacing w:after="20"/>
            </w:pPr>
            <w:r>
              <w:rPr>
                <w:rFonts w:ascii="Aptos" w:hAnsi="Aptos"/>
                <w:sz w:val="15"/>
              </w:rPr>
              <w:t>Organizational, solution, engineering or governance scope</w:t>
            </w:r>
          </w:p>
        </w:tc>
        <w:tc>
          <w:tcPr>
            <w:tcW w:type="dxa" w:w="2556"/>
          </w:tcPr>
          <w:p>
            <w:pPr>
              <w:spacing w:after="20"/>
            </w:pPr>
            <w:r>
              <w:rPr>
                <w:rFonts w:ascii="Aptos" w:hAnsi="Aptos"/>
                <w:sz w:val="15"/>
              </w:rPr>
              <w:t>QAI Lab, Factory, City, Valley, Space, HoldCo</w:t>
            </w:r>
          </w:p>
        </w:tc>
        <w:tc>
          <w:tcPr>
            <w:tcW w:type="dxa" w:w="2556"/>
          </w:tcPr>
          <w:p>
            <w:pPr>
              <w:spacing w:after="20"/>
            </w:pPr>
            <w:r>
              <w:rPr>
                <w:rFonts w:ascii="Aptos" w:hAnsi="Aptos"/>
                <w:sz w:val="15"/>
              </w:rPr>
              <w:t>A desktop type or one software component</w:t>
            </w:r>
          </w:p>
        </w:tc>
      </w:tr>
      <w:tr>
        <w:tc>
          <w:tcPr>
            <w:tcW w:type="dxa" w:w="2556"/>
          </w:tcPr>
          <w:p>
            <w:pPr>
              <w:spacing w:after="20"/>
            </w:pPr>
            <w:r>
              <w:rPr>
                <w:rFonts w:ascii="Aptos" w:hAnsi="Aptos"/>
                <w:sz w:val="15"/>
              </w:rPr>
              <w:t>Service model</w:t>
            </w:r>
          </w:p>
        </w:tc>
        <w:tc>
          <w:tcPr>
            <w:tcW w:type="dxa" w:w="2556"/>
          </w:tcPr>
          <w:p>
            <w:pPr>
              <w:spacing w:after="20"/>
            </w:pPr>
            <w:r>
              <w:rPr>
                <w:rFonts w:ascii="Aptos" w:hAnsi="Aptos"/>
                <w:sz w:val="15"/>
              </w:rPr>
              <w:t>What capability the client accesses</w:t>
            </w:r>
          </w:p>
        </w:tc>
        <w:tc>
          <w:tcPr>
            <w:tcW w:type="dxa" w:w="2556"/>
          </w:tcPr>
          <w:p>
            <w:pPr>
              <w:spacing w:after="20"/>
            </w:pPr>
            <w:r>
              <w:rPr>
                <w:rFonts w:ascii="Aptos" w:hAnsi="Aptos"/>
                <w:sz w:val="15"/>
              </w:rPr>
              <w:t>QAI Lab as a Service, IaaS, PaaS, SaaS, QAI-DCaaS</w:t>
            </w:r>
          </w:p>
        </w:tc>
        <w:tc>
          <w:tcPr>
            <w:tcW w:type="dxa" w:w="2556"/>
          </w:tcPr>
          <w:p>
            <w:pPr>
              <w:spacing w:after="20"/>
            </w:pPr>
            <w:r>
              <w:rPr>
                <w:rFonts w:ascii="Aptos" w:hAnsi="Aptos"/>
                <w:sz w:val="15"/>
              </w:rPr>
              <w:t>A mandatory topology or desktop image</w:t>
            </w:r>
          </w:p>
        </w:tc>
      </w:tr>
      <w:tr>
        <w:tc>
          <w:tcPr>
            <w:tcW w:type="dxa" w:w="2556"/>
          </w:tcPr>
          <w:p>
            <w:pPr>
              <w:spacing w:after="20"/>
            </w:pPr>
            <w:r>
              <w:rPr>
                <w:rFonts w:ascii="Aptos" w:hAnsi="Aptos"/>
                <w:sz w:val="15"/>
              </w:rPr>
              <w:t>User access environment</w:t>
            </w:r>
          </w:p>
        </w:tc>
        <w:tc>
          <w:tcPr>
            <w:tcW w:type="dxa" w:w="2556"/>
          </w:tcPr>
          <w:p>
            <w:pPr>
              <w:spacing w:after="20"/>
            </w:pPr>
            <w:r>
              <w:rPr>
                <w:rFonts w:ascii="Aptos" w:hAnsi="Aptos"/>
                <w:sz w:val="15"/>
              </w:rPr>
              <w:t>How a person/application interacts with services</w:t>
            </w:r>
          </w:p>
        </w:tc>
        <w:tc>
          <w:tcPr>
            <w:tcW w:type="dxa" w:w="2556"/>
          </w:tcPr>
          <w:p>
            <w:pPr>
              <w:spacing w:after="20"/>
            </w:pPr>
            <w:r>
              <w:rPr>
                <w:rFonts w:ascii="Aptos" w:hAnsi="Aptos"/>
                <w:sz w:val="15"/>
              </w:rPr>
              <w:t>Public terminal, virtual desktop, native workstation, browser, API/CLI</w:t>
            </w:r>
          </w:p>
        </w:tc>
        <w:tc>
          <w:tcPr>
            <w:tcW w:type="dxa" w:w="2556"/>
          </w:tcPr>
          <w:p>
            <w:pPr>
              <w:spacing w:after="20"/>
            </w:pPr>
            <w:r>
              <w:rPr>
                <w:rFonts w:ascii="Aptos" w:hAnsi="Aptos"/>
                <w:sz w:val="15"/>
              </w:rPr>
              <w:t>CPS model or compute resource</w:t>
            </w:r>
          </w:p>
        </w:tc>
      </w:tr>
      <w:tr>
        <w:tc>
          <w:tcPr>
            <w:tcW w:type="dxa" w:w="2556"/>
          </w:tcPr>
          <w:p>
            <w:pPr>
              <w:spacing w:after="20"/>
            </w:pPr>
            <w:r>
              <w:rPr>
                <w:rFonts w:ascii="Aptos" w:hAnsi="Aptos"/>
                <w:sz w:val="15"/>
              </w:rPr>
              <w:t>QAI CPS system</w:t>
            </w:r>
          </w:p>
        </w:tc>
        <w:tc>
          <w:tcPr>
            <w:tcW w:type="dxa" w:w="2556"/>
          </w:tcPr>
          <w:p>
            <w:pPr>
              <w:spacing w:after="20"/>
            </w:pPr>
            <w:r>
              <w:rPr>
                <w:rFonts w:ascii="Aptos" w:hAnsi="Aptos"/>
                <w:sz w:val="15"/>
              </w:rPr>
              <w:t>Models, virtual assets, relationships, workflows, capabilities, orchestration, validation</w:t>
            </w:r>
          </w:p>
        </w:tc>
        <w:tc>
          <w:tcPr>
            <w:tcW w:type="dxa" w:w="2556"/>
          </w:tcPr>
          <w:p>
            <w:pPr>
              <w:spacing w:after="20"/>
            </w:pPr>
            <w:r>
              <w:rPr>
                <w:rFonts w:ascii="Aptos" w:hAnsi="Aptos"/>
                <w:sz w:val="15"/>
              </w:rPr>
              <w:t>Digital Farm CPS model, workflow definitions, resource descriptions</w:t>
            </w:r>
          </w:p>
        </w:tc>
        <w:tc>
          <w:tcPr>
            <w:tcW w:type="dxa" w:w="2556"/>
          </w:tcPr>
          <w:p>
            <w:pPr>
              <w:spacing w:after="20"/>
            </w:pPr>
            <w:r>
              <w:rPr>
                <w:rFonts w:ascii="Aptos" w:hAnsi="Aptos"/>
                <w:sz w:val="15"/>
              </w:rPr>
              <w:t>A desktop, physical server, or guaranteed execution capability</w:t>
            </w:r>
          </w:p>
        </w:tc>
      </w:tr>
      <w:tr>
        <w:tc>
          <w:tcPr>
            <w:tcW w:type="dxa" w:w="2556"/>
          </w:tcPr>
          <w:p>
            <w:pPr>
              <w:spacing w:after="20"/>
            </w:pPr>
            <w:r>
              <w:rPr>
                <w:rFonts w:ascii="Aptos" w:hAnsi="Aptos"/>
                <w:sz w:val="15"/>
              </w:rPr>
              <w:t>Execution infrastructure</w:t>
            </w:r>
          </w:p>
        </w:tc>
        <w:tc>
          <w:tcPr>
            <w:tcW w:type="dxa" w:w="2556"/>
          </w:tcPr>
          <w:p>
            <w:pPr>
              <w:spacing w:after="20"/>
            </w:pPr>
            <w:r>
              <w:rPr>
                <w:rFonts w:ascii="Aptos" w:hAnsi="Aptos"/>
                <w:sz w:val="15"/>
              </w:rPr>
              <w:t>Where computation, storage, connectivity or physical operations occur</w:t>
            </w:r>
          </w:p>
        </w:tc>
        <w:tc>
          <w:tcPr>
            <w:tcW w:type="dxa" w:w="2556"/>
          </w:tcPr>
          <w:p>
            <w:pPr>
              <w:spacing w:after="20"/>
            </w:pPr>
            <w:r>
              <w:rPr>
                <w:rFonts w:ascii="Aptos" w:hAnsi="Aptos"/>
                <w:sz w:val="15"/>
              </w:rPr>
              <w:t>Client server, campus cluster, colocation, cloud, HPC, simulator, supported QPU service</w:t>
            </w:r>
          </w:p>
        </w:tc>
        <w:tc>
          <w:tcPr>
            <w:tcW w:type="dxa" w:w="2556"/>
          </w:tcPr>
          <w:p>
            <w:pPr>
              <w:spacing w:after="20"/>
            </w:pPr>
            <w:r>
              <w:rPr>
                <w:rFonts w:ascii="Aptos" w:hAnsi="Aptos"/>
                <w:sz w:val="15"/>
              </w:rPr>
              <w:t>A CPS virtual asset merely because it describes a resource</w:t>
            </w:r>
          </w:p>
        </w:tc>
      </w:tr>
    </w:tbl>
    <w:p/>
    <w:p>
      <w:pPr>
        <w:pStyle w:val="Heading1"/>
      </w:pPr>
      <w:r>
        <w:t>3. Logical architecture and interaction boundaries</w:t>
      </w:r>
    </w:p>
    <w:p>
      <w:pPr>
        <w:spacing w:after="80"/>
      </w:pPr>
      <w:r>
        <w:t>This is a logical view. Components may share physical hosting where appropriate, but responsibilities, permissions, and interfaces remain distinct.</w:t>
      </w:r>
    </w:p>
    <w:p>
      <w:pPr>
        <w:spacing w:after="80"/>
        <w:jc w:val="center"/>
      </w:pPr>
      <w:r>
        <w:rPr>
          <w:b/>
        </w:rPr>
        <w:t>USER ACCESS ENVIRONMENTS</w:t>
      </w:r>
    </w:p>
    <w:p>
      <w:pPr>
        <w:spacing w:after="80"/>
        <w:jc w:val="center"/>
      </w:pPr>
      <w:r>
        <w:t>Public terminal | Optional virtual desktop | Native enterprise workstation | Browser | API / CLI</w:t>
      </w:r>
    </w:p>
    <w:p>
      <w:pPr>
        <w:spacing w:after="80"/>
        <w:jc w:val="center"/>
      </w:pPr>
      <w:r>
        <w:t>↓ Authenticated and authorized interfaces</w:t>
      </w:r>
    </w:p>
    <w:p>
      <w:pPr>
        <w:spacing w:after="80"/>
        <w:jc w:val="center"/>
      </w:pPr>
      <w:r>
        <w:rPr>
          <w:b/>
        </w:rPr>
        <w:t>QAI SERVICE AND CONTROL INTERFACES</w:t>
      </w:r>
    </w:p>
    <w:p>
      <w:pPr>
        <w:spacing w:after="80"/>
        <w:jc w:val="center"/>
      </w:pPr>
      <w:r>
        <w:t>QAI Lab | SaaS | PaaS | IaaS-style access | QAI-DCaaS (as required)</w:t>
      </w:r>
    </w:p>
    <w:p>
      <w:pPr>
        <w:spacing w:after="80"/>
        <w:jc w:val="center"/>
      </w:pPr>
      <w:r>
        <w:t>↓ Supported service/API/workflow contracts</w:t>
      </w:r>
    </w:p>
    <w:p>
      <w:pPr>
        <w:spacing w:after="80"/>
        <w:jc w:val="center"/>
      </w:pPr>
      <w:r>
        <w:rPr>
          <w:b/>
        </w:rPr>
        <w:t>QAI CPS SYSTEM</w:t>
      </w:r>
    </w:p>
    <w:p>
      <w:pPr>
        <w:spacing w:after="80"/>
        <w:jc w:val="center"/>
      </w:pPr>
      <w:r>
        <w:t>Domain models | Virtual assets | Relationships | Workflows | Orchestration | Validation | Evidence</w:t>
      </w:r>
    </w:p>
    <w:p>
      <w:pPr>
        <w:spacing w:after="80"/>
        <w:jc w:val="center"/>
      </w:pPr>
      <w:r>
        <w:t>↓ Approved integration and execution interfaces</w:t>
      </w:r>
    </w:p>
    <w:p>
      <w:pPr>
        <w:spacing w:after="80"/>
        <w:jc w:val="center"/>
      </w:pPr>
      <w:r>
        <w:rPr>
          <w:b/>
        </w:rPr>
        <w:t>EXECUTION INFRASTRUCTURE</w:t>
      </w:r>
    </w:p>
    <w:p>
      <w:pPr>
        <w:spacing w:after="80"/>
        <w:jc w:val="center"/>
      </w:pPr>
      <w:r>
        <w:t>Client servers | Campus clusters | Colocation | Cloud | CPU/GPU/HPC | Simulators | Supported quantum services</w:t>
      </w:r>
    </w:p>
    <w:p>
      <w:pPr>
        <w:spacing w:after="80"/>
        <w:jc w:val="center"/>
      </w:pPr>
      <w:r>
        <w:rPr>
          <w:b/>
        </w:rPr>
        <w:t>Cross-cutting controls: identity, authorization, security, data boundaries, governance, observability, audit, lifecycle.</w:t>
      </w:r>
    </w:p>
    <w:p>
      <w:pPr>
        <w:pStyle w:val="Heading1"/>
      </w:pPr>
      <w:r>
        <w:t>4. Access modes: virtualization is optional</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rPr>
                <w:b/>
                <w:sz w:val="15"/>
              </w:rPr>
              <w:t>Mode</w:t>
            </w:r>
          </w:p>
        </w:tc>
        <w:tc>
          <w:tcPr>
            <w:tcW w:type="dxa" w:w="2556"/>
            <w:shd w:fill="D9EAF7"/>
          </w:tcPr>
          <w:p>
            <w:r>
              <w:rPr>
                <w:b/>
                <w:sz w:val="15"/>
              </w:rPr>
              <w:t>Description</w:t>
            </w:r>
          </w:p>
        </w:tc>
        <w:tc>
          <w:tcPr>
            <w:tcW w:type="dxa" w:w="2556"/>
            <w:shd w:fill="D9EAF7"/>
          </w:tcPr>
          <w:p>
            <w:r>
              <w:rPr>
                <w:b/>
                <w:sz w:val="15"/>
              </w:rPr>
              <w:t>Suitable use</w:t>
            </w:r>
          </w:p>
        </w:tc>
        <w:tc>
          <w:tcPr>
            <w:tcW w:type="dxa" w:w="2556"/>
            <w:shd w:fill="D9EAF7"/>
          </w:tcPr>
          <w:p>
            <w:r>
              <w:rPr>
                <w:b/>
                <w:sz w:val="15"/>
              </w:rPr>
              <w:t>Considerations</w:t>
            </w:r>
          </w:p>
        </w:tc>
      </w:tr>
      <w:tr>
        <w:tc>
          <w:tcPr>
            <w:tcW w:type="dxa" w:w="2556"/>
          </w:tcPr>
          <w:p>
            <w:pPr>
              <w:spacing w:after="20"/>
            </w:pPr>
            <w:r>
              <w:rPr>
                <w:rFonts w:ascii="Aptos" w:hAnsi="Aptos"/>
                <w:sz w:val="15"/>
              </w:rPr>
              <w:t>Prebuilt virtual desktop</w:t>
            </w:r>
          </w:p>
        </w:tc>
        <w:tc>
          <w:tcPr>
            <w:tcW w:type="dxa" w:w="2556"/>
          </w:tcPr>
          <w:p>
            <w:pPr>
              <w:spacing w:after="20"/>
            </w:pPr>
            <w:r>
              <w:rPr>
                <w:rFonts w:ascii="Aptos" w:hAnsi="Aptos"/>
                <w:sz w:val="15"/>
              </w:rPr>
              <w:t>Managed, versioned user environment provisioned from approved image</w:t>
            </w:r>
          </w:p>
        </w:tc>
        <w:tc>
          <w:tcPr>
            <w:tcW w:type="dxa" w:w="2556"/>
          </w:tcPr>
          <w:p>
            <w:pPr>
              <w:spacing w:after="20"/>
            </w:pPr>
            <w:r>
              <w:rPr>
                <w:rFonts w:ascii="Aptos" w:hAnsi="Aptos"/>
                <w:sz w:val="15"/>
              </w:rPr>
              <w:t>Public learning, repeatable training, quick-start development</w:t>
            </w:r>
          </w:p>
        </w:tc>
        <w:tc>
          <w:tcPr>
            <w:tcW w:type="dxa" w:w="2556"/>
          </w:tcPr>
          <w:p>
            <w:pPr>
              <w:spacing w:after="20"/>
            </w:pPr>
            <w:r>
              <w:rPr>
                <w:rFonts w:ascii="Aptos" w:hAnsi="Aptos"/>
                <w:sz w:val="15"/>
              </w:rPr>
              <w:t>May constrain graphics, drivers, devices, licensing, latency or specialist software</w:t>
            </w:r>
          </w:p>
        </w:tc>
      </w:tr>
      <w:tr>
        <w:tc>
          <w:tcPr>
            <w:tcW w:type="dxa" w:w="2556"/>
          </w:tcPr>
          <w:p>
            <w:pPr>
              <w:spacing w:after="20"/>
            </w:pPr>
            <w:r>
              <w:rPr>
                <w:rFonts w:ascii="Aptos" w:hAnsi="Aptos"/>
                <w:sz w:val="15"/>
              </w:rPr>
              <w:t>Native / existing client environment</w:t>
            </w:r>
          </w:p>
        </w:tc>
        <w:tc>
          <w:tcPr>
            <w:tcW w:type="dxa" w:w="2556"/>
          </w:tcPr>
          <w:p>
            <w:pPr>
              <w:spacing w:after="20"/>
            </w:pPr>
            <w:r>
              <w:rPr>
                <w:rFonts w:ascii="Aptos" w:hAnsi="Aptos"/>
                <w:sz w:val="15"/>
              </w:rPr>
              <w:t>QAI tools integrate with client's managed workstation, OS or IDE</w:t>
            </w:r>
          </w:p>
        </w:tc>
        <w:tc>
          <w:tcPr>
            <w:tcW w:type="dxa" w:w="2556"/>
          </w:tcPr>
          <w:p>
            <w:pPr>
              <w:spacing w:after="20"/>
            </w:pPr>
            <w:r>
              <w:rPr>
                <w:rFonts w:ascii="Aptos" w:hAnsi="Aptos"/>
                <w:sz w:val="15"/>
              </w:rPr>
              <w:t>Enterprise engineering, specialist software, local hardware access</w:t>
            </w:r>
          </w:p>
        </w:tc>
        <w:tc>
          <w:tcPr>
            <w:tcW w:type="dxa" w:w="2556"/>
          </w:tcPr>
          <w:p>
            <w:pPr>
              <w:spacing w:after="20"/>
            </w:pPr>
            <w:r>
              <w:rPr>
                <w:rFonts w:ascii="Aptos" w:hAnsi="Aptos"/>
                <w:sz w:val="15"/>
              </w:rPr>
              <w:t>Validate dependencies, permissions, supported OS and update ownership</w:t>
            </w:r>
          </w:p>
        </w:tc>
      </w:tr>
      <w:tr>
        <w:tc>
          <w:tcPr>
            <w:tcW w:type="dxa" w:w="2556"/>
          </w:tcPr>
          <w:p>
            <w:pPr>
              <w:spacing w:after="20"/>
            </w:pPr>
            <w:r>
              <w:rPr>
                <w:rFonts w:ascii="Aptos" w:hAnsi="Aptos"/>
                <w:sz w:val="15"/>
              </w:rPr>
              <w:t>Direct service integration</w:t>
            </w:r>
          </w:p>
        </w:tc>
        <w:tc>
          <w:tcPr>
            <w:tcW w:type="dxa" w:w="2556"/>
          </w:tcPr>
          <w:p>
            <w:pPr>
              <w:spacing w:after="20"/>
            </w:pPr>
            <w:r>
              <w:rPr>
                <w:rFonts w:ascii="Aptos" w:hAnsi="Aptos"/>
                <w:sz w:val="15"/>
              </w:rPr>
              <w:t>Applications use supported APIs, SDKs, workflows or CLI</w:t>
            </w:r>
          </w:p>
        </w:tc>
        <w:tc>
          <w:tcPr>
            <w:tcW w:type="dxa" w:w="2556"/>
          </w:tcPr>
          <w:p>
            <w:pPr>
              <w:spacing w:after="20"/>
            </w:pPr>
            <w:r>
              <w:rPr>
                <w:rFonts w:ascii="Aptos" w:hAnsi="Aptos"/>
                <w:sz w:val="15"/>
              </w:rPr>
              <w:t>Production applications, automation, integration</w:t>
            </w:r>
          </w:p>
        </w:tc>
        <w:tc>
          <w:tcPr>
            <w:tcW w:type="dxa" w:w="2556"/>
          </w:tcPr>
          <w:p>
            <w:pPr>
              <w:spacing w:after="20"/>
            </w:pPr>
            <w:r>
              <w:rPr>
                <w:rFonts w:ascii="Aptos" w:hAnsi="Aptos"/>
                <w:sz w:val="15"/>
              </w:rPr>
              <w:t>Needs clear contracts, identity, versioning, error handling and ownership</w:t>
            </w:r>
          </w:p>
        </w:tc>
      </w:tr>
      <w:tr>
        <w:tc>
          <w:tcPr>
            <w:tcW w:type="dxa" w:w="2556"/>
          </w:tcPr>
          <w:p>
            <w:pPr>
              <w:spacing w:after="20"/>
            </w:pPr>
            <w:r>
              <w:rPr>
                <w:rFonts w:ascii="Aptos" w:hAnsi="Aptos"/>
                <w:sz w:val="15"/>
              </w:rPr>
              <w:t>Hybrid access</w:t>
            </w:r>
          </w:p>
        </w:tc>
        <w:tc>
          <w:tcPr>
            <w:tcW w:type="dxa" w:w="2556"/>
          </w:tcPr>
          <w:p>
            <w:pPr>
              <w:spacing w:after="20"/>
            </w:pPr>
            <w:r>
              <w:rPr>
                <w:rFonts w:ascii="Aptos" w:hAnsi="Aptos"/>
                <w:sz w:val="15"/>
              </w:rPr>
              <w:t>Different users/workloads use different modes</w:t>
            </w:r>
          </w:p>
        </w:tc>
        <w:tc>
          <w:tcPr>
            <w:tcW w:type="dxa" w:w="2556"/>
          </w:tcPr>
          <w:p>
            <w:pPr>
              <w:spacing w:after="20"/>
            </w:pPr>
            <w:r>
              <w:rPr>
                <w:rFonts w:ascii="Aptos" w:hAnsi="Aptos"/>
                <w:sz w:val="15"/>
              </w:rPr>
              <w:t>Mixed enterprise, research, public learning and engineering</w:t>
            </w:r>
          </w:p>
        </w:tc>
        <w:tc>
          <w:tcPr>
            <w:tcW w:type="dxa" w:w="2556"/>
          </w:tcPr>
          <w:p>
            <w:pPr>
              <w:spacing w:after="20"/>
            </w:pPr>
            <w:r>
              <w:rPr>
                <w:rFonts w:ascii="Aptos" w:hAnsi="Aptos"/>
                <w:sz w:val="15"/>
              </w:rPr>
              <w:t>Keep consistent identity, authorization, data, monitoring and lifecycle controls</w:t>
            </w:r>
          </w:p>
        </w:tc>
      </w:tr>
    </w:tbl>
    <w:p/>
    <w:p>
      <w:pPr>
        <w:pStyle w:val="Heading1"/>
      </w:pPr>
      <w:r>
        <w:t>5. Keep the ten QAI ecosystem boundaries separate</w:t>
      </w:r>
    </w:p>
    <w:p>
      <w:pPr>
        <w:spacing w:after="80"/>
      </w:pPr>
      <w:r>
        <w:t>The ten named boundaries describe the broader QAI ecosystem. They are not desktop image categories and should not be encoded as a single chain of virtual desktops.</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Pr>
                <w:b/>
                <w:sz w:val="15"/>
              </w:rPr>
              <w:t>Boundary</w:t>
            </w:r>
          </w:p>
        </w:tc>
        <w:tc>
          <w:tcPr>
            <w:tcW w:type="dxa" w:w="3408"/>
            <w:shd w:fill="D9EAF7"/>
          </w:tcPr>
          <w:p>
            <w:r>
              <w:rPr>
                <w:b/>
                <w:sz w:val="15"/>
              </w:rPr>
              <w:t>Primary scope</w:t>
            </w:r>
          </w:p>
        </w:tc>
        <w:tc>
          <w:tcPr>
            <w:tcW w:type="dxa" w:w="3408"/>
            <w:shd w:fill="D9EAF7"/>
          </w:tcPr>
          <w:p>
            <w:r>
              <w:rPr>
                <w:b/>
                <w:sz w:val="15"/>
              </w:rPr>
              <w:t>Example role</w:t>
            </w:r>
          </w:p>
        </w:tc>
      </w:tr>
      <w:tr>
        <w:tc>
          <w:tcPr>
            <w:tcW w:type="dxa" w:w="3408"/>
          </w:tcPr>
          <w:p>
            <w:pPr>
              <w:spacing w:after="20"/>
            </w:pPr>
            <w:r>
              <w:rPr>
                <w:rFonts w:ascii="Aptos" w:hAnsi="Aptos"/>
                <w:sz w:val="15"/>
              </w:rPr>
              <w:t>QAI Lab</w:t>
            </w:r>
          </w:p>
        </w:tc>
        <w:tc>
          <w:tcPr>
            <w:tcW w:type="dxa" w:w="3408"/>
          </w:tcPr>
          <w:p>
            <w:pPr>
              <w:spacing w:after="20"/>
            </w:pPr>
            <w:r>
              <w:rPr>
                <w:rFonts w:ascii="Aptos" w:hAnsi="Aptos"/>
                <w:sz w:val="15"/>
              </w:rPr>
              <w:t>Learning, research, experimentation, simulation and validation</w:t>
            </w:r>
          </w:p>
        </w:tc>
        <w:tc>
          <w:tcPr>
            <w:tcW w:type="dxa" w:w="3408"/>
          </w:tcPr>
          <w:p>
            <w:pPr>
              <w:spacing w:after="20"/>
            </w:pPr>
            <w:r>
              <w:rPr>
                <w:rFonts w:ascii="Aptos" w:hAnsi="Aptos"/>
                <w:sz w:val="15"/>
              </w:rPr>
              <w:t>Research and experiment environment</w:t>
            </w:r>
          </w:p>
        </w:tc>
      </w:tr>
      <w:tr>
        <w:tc>
          <w:tcPr>
            <w:tcW w:type="dxa" w:w="3408"/>
          </w:tcPr>
          <w:p>
            <w:pPr>
              <w:spacing w:after="20"/>
            </w:pPr>
            <w:r>
              <w:rPr>
                <w:rFonts w:ascii="Aptos" w:hAnsi="Aptos"/>
                <w:sz w:val="15"/>
              </w:rPr>
              <w:t>QAI IaaS</w:t>
            </w:r>
          </w:p>
        </w:tc>
        <w:tc>
          <w:tcPr>
            <w:tcW w:type="dxa" w:w="3408"/>
          </w:tcPr>
          <w:p>
            <w:pPr>
              <w:spacing w:after="20"/>
            </w:pPr>
            <w:r>
              <w:rPr>
                <w:rFonts w:ascii="Aptos" w:hAnsi="Aptos"/>
                <w:sz w:val="15"/>
              </w:rPr>
              <w:t>Logical access to approved infrastructure resources</w:t>
            </w:r>
          </w:p>
        </w:tc>
        <w:tc>
          <w:tcPr>
            <w:tcW w:type="dxa" w:w="3408"/>
          </w:tcPr>
          <w:p>
            <w:pPr>
              <w:spacing w:after="20"/>
            </w:pPr>
            <w:r>
              <w:rPr>
                <w:rFonts w:ascii="Aptos" w:hAnsi="Aptos"/>
                <w:sz w:val="15"/>
              </w:rPr>
              <w:t>Compute/storage/network resource service</w:t>
            </w:r>
          </w:p>
        </w:tc>
      </w:tr>
      <w:tr>
        <w:tc>
          <w:tcPr>
            <w:tcW w:type="dxa" w:w="3408"/>
          </w:tcPr>
          <w:p>
            <w:pPr>
              <w:spacing w:after="20"/>
            </w:pPr>
            <w:r>
              <w:rPr>
                <w:rFonts w:ascii="Aptos" w:hAnsi="Aptos"/>
                <w:sz w:val="15"/>
              </w:rPr>
              <w:t>QAI PaaS</w:t>
            </w:r>
          </w:p>
        </w:tc>
        <w:tc>
          <w:tcPr>
            <w:tcW w:type="dxa" w:w="3408"/>
          </w:tcPr>
          <w:p>
            <w:pPr>
              <w:spacing w:after="20"/>
            </w:pPr>
            <w:r>
              <w:rPr>
                <w:rFonts w:ascii="Aptos" w:hAnsi="Aptos"/>
                <w:sz w:val="15"/>
              </w:rPr>
              <w:t>Development, integration, CPS modelling and workflow capabilities</w:t>
            </w:r>
          </w:p>
        </w:tc>
        <w:tc>
          <w:tcPr>
            <w:tcW w:type="dxa" w:w="3408"/>
          </w:tcPr>
          <w:p>
            <w:pPr>
              <w:spacing w:after="20"/>
            </w:pPr>
            <w:r>
              <w:rPr>
                <w:rFonts w:ascii="Aptos" w:hAnsi="Aptos"/>
                <w:sz w:val="15"/>
              </w:rPr>
              <w:t>Application and solution development</w:t>
            </w:r>
          </w:p>
        </w:tc>
      </w:tr>
      <w:tr>
        <w:tc>
          <w:tcPr>
            <w:tcW w:type="dxa" w:w="3408"/>
          </w:tcPr>
          <w:p>
            <w:pPr>
              <w:spacing w:after="20"/>
            </w:pPr>
            <w:r>
              <w:rPr>
                <w:rFonts w:ascii="Aptos" w:hAnsi="Aptos"/>
                <w:sz w:val="15"/>
              </w:rPr>
              <w:t>QAI SaaS</w:t>
            </w:r>
          </w:p>
        </w:tc>
        <w:tc>
          <w:tcPr>
            <w:tcW w:type="dxa" w:w="3408"/>
          </w:tcPr>
          <w:p>
            <w:pPr>
              <w:spacing w:after="20"/>
            </w:pPr>
            <w:r>
              <w:rPr>
                <w:rFonts w:ascii="Aptos" w:hAnsi="Aptos"/>
                <w:sz w:val="15"/>
              </w:rPr>
              <w:t>Ready-to-use applications and business workflows</w:t>
            </w:r>
          </w:p>
        </w:tc>
        <w:tc>
          <w:tcPr>
            <w:tcW w:type="dxa" w:w="3408"/>
          </w:tcPr>
          <w:p>
            <w:pPr>
              <w:spacing w:after="20"/>
            </w:pPr>
            <w:r>
              <w:rPr>
                <w:rFonts w:ascii="Aptos" w:hAnsi="Aptos"/>
                <w:sz w:val="15"/>
              </w:rPr>
              <w:t>Domain application delivery</w:t>
            </w:r>
          </w:p>
        </w:tc>
      </w:tr>
      <w:tr>
        <w:tc>
          <w:tcPr>
            <w:tcW w:type="dxa" w:w="3408"/>
          </w:tcPr>
          <w:p>
            <w:pPr>
              <w:spacing w:after="20"/>
            </w:pPr>
            <w:r>
              <w:rPr>
                <w:rFonts w:ascii="Aptos" w:hAnsi="Aptos"/>
                <w:sz w:val="15"/>
              </w:rPr>
              <w:t>QAI Data Center</w:t>
            </w:r>
          </w:p>
        </w:tc>
        <w:tc>
          <w:tcPr>
            <w:tcW w:type="dxa" w:w="3408"/>
          </w:tcPr>
          <w:p>
            <w:pPr>
              <w:spacing w:after="20"/>
            </w:pPr>
            <w:r>
              <w:rPr>
                <w:rFonts w:ascii="Aptos" w:hAnsi="Aptos"/>
                <w:sz w:val="15"/>
              </w:rPr>
              <w:t>Coordination of computing services, resources and lifecycle</w:t>
            </w:r>
          </w:p>
        </w:tc>
        <w:tc>
          <w:tcPr>
            <w:tcW w:type="dxa" w:w="3408"/>
          </w:tcPr>
          <w:p>
            <w:pPr>
              <w:spacing w:after="20"/>
            </w:pPr>
            <w:r>
              <w:rPr>
                <w:rFonts w:ascii="Aptos" w:hAnsi="Aptos"/>
                <w:sz w:val="15"/>
              </w:rPr>
              <w:t>QAI-DCaaS and resource orchestration</w:t>
            </w:r>
          </w:p>
        </w:tc>
      </w:tr>
      <w:tr>
        <w:tc>
          <w:tcPr>
            <w:tcW w:type="dxa" w:w="3408"/>
          </w:tcPr>
          <w:p>
            <w:pPr>
              <w:spacing w:after="20"/>
            </w:pPr>
            <w:r>
              <w:rPr>
                <w:rFonts w:ascii="Aptos" w:hAnsi="Aptos"/>
                <w:sz w:val="15"/>
              </w:rPr>
              <w:t>QAI Factory</w:t>
            </w:r>
          </w:p>
        </w:tc>
        <w:tc>
          <w:tcPr>
            <w:tcW w:type="dxa" w:w="3408"/>
          </w:tcPr>
          <w:p>
            <w:pPr>
              <w:spacing w:after="20"/>
            </w:pPr>
            <w:r>
              <w:rPr>
                <w:rFonts w:ascii="Aptos" w:hAnsi="Aptos"/>
                <w:sz w:val="15"/>
              </w:rPr>
              <w:t>Reusable engineering, assembly, testing and solution production</w:t>
            </w:r>
          </w:p>
        </w:tc>
        <w:tc>
          <w:tcPr>
            <w:tcW w:type="dxa" w:w="3408"/>
          </w:tcPr>
          <w:p>
            <w:pPr>
              <w:spacing w:after="20"/>
            </w:pPr>
            <w:r>
              <w:rPr>
                <w:rFonts w:ascii="Aptos" w:hAnsi="Aptos"/>
                <w:sz w:val="15"/>
              </w:rPr>
              <w:t>Bhadale IT's core engineering and solution-production boundary</w:t>
            </w:r>
          </w:p>
        </w:tc>
      </w:tr>
      <w:tr>
        <w:tc>
          <w:tcPr>
            <w:tcW w:type="dxa" w:w="3408"/>
          </w:tcPr>
          <w:p>
            <w:pPr>
              <w:spacing w:after="20"/>
            </w:pPr>
            <w:r>
              <w:rPr>
                <w:rFonts w:ascii="Aptos" w:hAnsi="Aptos"/>
                <w:sz w:val="15"/>
              </w:rPr>
              <w:t>QAI City</w:t>
            </w:r>
          </w:p>
        </w:tc>
        <w:tc>
          <w:tcPr>
            <w:tcW w:type="dxa" w:w="3408"/>
          </w:tcPr>
          <w:p>
            <w:pPr>
              <w:spacing w:after="20"/>
            </w:pPr>
            <w:r>
              <w:rPr>
                <w:rFonts w:ascii="Aptos" w:hAnsi="Aptos"/>
                <w:sz w:val="15"/>
              </w:rPr>
              <w:t>Integration of urban systems and services</w:t>
            </w:r>
          </w:p>
        </w:tc>
        <w:tc>
          <w:tcPr>
            <w:tcW w:type="dxa" w:w="3408"/>
          </w:tcPr>
          <w:p>
            <w:pPr>
              <w:spacing w:after="20"/>
            </w:pPr>
            <w:r>
              <w:rPr>
                <w:rFonts w:ascii="Aptos" w:hAnsi="Aptos"/>
                <w:sz w:val="15"/>
              </w:rPr>
              <w:t>City-scale domain and infrastructure initiatives</w:t>
            </w:r>
          </w:p>
        </w:tc>
      </w:tr>
      <w:tr>
        <w:tc>
          <w:tcPr>
            <w:tcW w:type="dxa" w:w="3408"/>
          </w:tcPr>
          <w:p>
            <w:pPr>
              <w:spacing w:after="20"/>
            </w:pPr>
            <w:r>
              <w:rPr>
                <w:rFonts w:ascii="Aptos" w:hAnsi="Aptos"/>
                <w:sz w:val="15"/>
              </w:rPr>
              <w:t>QAI Valley</w:t>
            </w:r>
          </w:p>
        </w:tc>
        <w:tc>
          <w:tcPr>
            <w:tcW w:type="dxa" w:w="3408"/>
          </w:tcPr>
          <w:p>
            <w:pPr>
              <w:spacing w:after="20"/>
            </w:pPr>
            <w:r>
              <w:rPr>
                <w:rFonts w:ascii="Aptos" w:hAnsi="Aptos"/>
                <w:sz w:val="15"/>
              </w:rPr>
              <w:t>Regional innovation, research, industry and economic collaboration</w:t>
            </w:r>
          </w:p>
        </w:tc>
        <w:tc>
          <w:tcPr>
            <w:tcW w:type="dxa" w:w="3408"/>
          </w:tcPr>
          <w:p>
            <w:pPr>
              <w:spacing w:after="20"/>
            </w:pPr>
            <w:r>
              <w:rPr>
                <w:rFonts w:ascii="Aptos" w:hAnsi="Aptos"/>
                <w:sz w:val="15"/>
              </w:rPr>
              <w:t>Regional pilots and commercialization</w:t>
            </w:r>
          </w:p>
        </w:tc>
      </w:tr>
      <w:tr>
        <w:tc>
          <w:tcPr>
            <w:tcW w:type="dxa" w:w="3408"/>
          </w:tcPr>
          <w:p>
            <w:pPr>
              <w:spacing w:after="20"/>
            </w:pPr>
            <w:r>
              <w:rPr>
                <w:rFonts w:ascii="Aptos" w:hAnsi="Aptos"/>
                <w:sz w:val="15"/>
              </w:rPr>
              <w:t>QAI Space</w:t>
            </w:r>
          </w:p>
        </w:tc>
        <w:tc>
          <w:tcPr>
            <w:tcW w:type="dxa" w:w="3408"/>
          </w:tcPr>
          <w:p>
            <w:pPr>
              <w:spacing w:after="20"/>
            </w:pPr>
            <w:r>
              <w:rPr>
                <w:rFonts w:ascii="Aptos" w:hAnsi="Aptos"/>
                <w:sz w:val="15"/>
              </w:rPr>
              <w:t>Space-related systems and distributed environments</w:t>
            </w:r>
          </w:p>
        </w:tc>
        <w:tc>
          <w:tcPr>
            <w:tcW w:type="dxa" w:w="3408"/>
          </w:tcPr>
          <w:p>
            <w:pPr>
              <w:spacing w:after="20"/>
            </w:pPr>
            <w:r>
              <w:rPr>
                <w:rFonts w:ascii="Aptos" w:hAnsi="Aptos"/>
                <w:sz w:val="15"/>
              </w:rPr>
              <w:t>Satellite, remote sensing, communications and mission projects</w:t>
            </w:r>
          </w:p>
        </w:tc>
      </w:tr>
      <w:tr>
        <w:tc>
          <w:tcPr>
            <w:tcW w:type="dxa" w:w="3408"/>
          </w:tcPr>
          <w:p>
            <w:pPr>
              <w:spacing w:after="20"/>
            </w:pPr>
            <w:r>
              <w:rPr>
                <w:rFonts w:ascii="Aptos" w:hAnsi="Aptos"/>
                <w:sz w:val="15"/>
              </w:rPr>
              <w:t>QAI HoldCo</w:t>
            </w:r>
          </w:p>
        </w:tc>
        <w:tc>
          <w:tcPr>
            <w:tcW w:type="dxa" w:w="3408"/>
          </w:tcPr>
          <w:p>
            <w:pPr>
              <w:spacing w:after="20"/>
            </w:pPr>
            <w:r>
              <w:rPr>
                <w:rFonts w:ascii="Aptos" w:hAnsi="Aptos"/>
                <w:sz w:val="15"/>
              </w:rPr>
              <w:t>Portfolio strategy, IP, investment, subsidiaries and governance</w:t>
            </w:r>
          </w:p>
        </w:tc>
        <w:tc>
          <w:tcPr>
            <w:tcW w:type="dxa" w:w="3408"/>
          </w:tcPr>
          <w:p>
            <w:pPr>
              <w:spacing w:after="20"/>
            </w:pPr>
            <w:r>
              <w:rPr>
                <w:rFonts w:ascii="Aptos" w:hAnsi="Aptos"/>
                <w:sz w:val="15"/>
              </w:rPr>
              <w:t>Portfolio and investment oversight</w:t>
            </w:r>
          </w:p>
        </w:tc>
      </w:tr>
    </w:tbl>
    <w:p/>
    <w:p>
      <w:pPr>
        <w:spacing w:after="80"/>
      </w:pPr>
      <w:r>
        <w:t>These boundaries have different kinds of scope. IaaS/PaaS/SaaS are service models; Lab and Factory are research/engineering boundaries; City, Valley and Space are broader solution or ecosystem contexts; HoldCo is a portfolio/governance boundary. They can interact without being a strict technical dependency chain.</w:t>
      </w:r>
    </w:p>
    <w:p>
      <w:pPr>
        <w:pStyle w:val="Heading1"/>
      </w:pPr>
      <w:r>
        <w:t>6. QAI Factory ownership and collaboration</w:t>
      </w:r>
    </w:p>
    <w:p>
      <w:pPr>
        <w:spacing w:after="80"/>
      </w:pPr>
      <w:r>
        <w:t>Bhadale IT's QAI Factory can remain the core reusable engineering and solution-production environment while collaborating with clients, universities, infrastructure providers, technology vendors, and government or regional organizations. Ownership of the Factory does not require ownership of every partner's server, dataset, algorithm, or external service.</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Pr>
                <w:b/>
                <w:sz w:val="15"/>
              </w:rPr>
              <w:t>Participant</w:t>
            </w:r>
          </w:p>
        </w:tc>
        <w:tc>
          <w:tcPr>
            <w:tcW w:type="dxa" w:w="3408"/>
            <w:shd w:fill="D9EAF7"/>
          </w:tcPr>
          <w:p>
            <w:r>
              <w:rPr>
                <w:b/>
                <w:sz w:val="15"/>
              </w:rPr>
              <w:t>Typical contribution</w:t>
            </w:r>
          </w:p>
        </w:tc>
        <w:tc>
          <w:tcPr>
            <w:tcW w:type="dxa" w:w="3408"/>
            <w:shd w:fill="D9EAF7"/>
          </w:tcPr>
          <w:p>
            <w:r>
              <w:rPr>
                <w:b/>
                <w:sz w:val="15"/>
              </w:rPr>
              <w:t>Boundary to define</w:t>
            </w:r>
          </w:p>
        </w:tc>
      </w:tr>
      <w:tr>
        <w:tc>
          <w:tcPr>
            <w:tcW w:type="dxa" w:w="3408"/>
          </w:tcPr>
          <w:p>
            <w:pPr>
              <w:spacing w:after="20"/>
            </w:pPr>
            <w:r>
              <w:rPr>
                <w:rFonts w:ascii="Aptos" w:hAnsi="Aptos"/>
                <w:sz w:val="15"/>
              </w:rPr>
              <w:t>Bhadale IT / QAI Factory</w:t>
            </w:r>
          </w:p>
        </w:tc>
        <w:tc>
          <w:tcPr>
            <w:tcW w:type="dxa" w:w="3408"/>
          </w:tcPr>
          <w:p>
            <w:pPr>
              <w:spacing w:after="20"/>
            </w:pPr>
            <w:r>
              <w:rPr>
                <w:rFonts w:ascii="Aptos" w:hAnsi="Aptos"/>
                <w:sz w:val="15"/>
              </w:rPr>
              <w:t>Architecture, reusable engineering assets, integration, orchestration, testing and release</w:t>
            </w:r>
          </w:p>
        </w:tc>
        <w:tc>
          <w:tcPr>
            <w:tcW w:type="dxa" w:w="3408"/>
          </w:tcPr>
          <w:p>
            <w:pPr>
              <w:spacing w:after="20"/>
            </w:pPr>
            <w:r>
              <w:rPr>
                <w:rFonts w:ascii="Aptos" w:hAnsi="Aptos"/>
                <w:sz w:val="15"/>
              </w:rPr>
              <w:t>Core IP, permissions, release authority, reuse rights</w:t>
            </w:r>
          </w:p>
        </w:tc>
      </w:tr>
      <w:tr>
        <w:tc>
          <w:tcPr>
            <w:tcW w:type="dxa" w:w="3408"/>
          </w:tcPr>
          <w:p>
            <w:pPr>
              <w:spacing w:after="20"/>
            </w:pPr>
            <w:r>
              <w:rPr>
                <w:rFonts w:ascii="Aptos" w:hAnsi="Aptos"/>
                <w:sz w:val="15"/>
              </w:rPr>
              <w:t>Client / subsidiary</w:t>
            </w:r>
          </w:p>
        </w:tc>
        <w:tc>
          <w:tcPr>
            <w:tcW w:type="dxa" w:w="3408"/>
          </w:tcPr>
          <w:p>
            <w:pPr>
              <w:spacing w:after="20"/>
            </w:pPr>
            <w:r>
              <w:rPr>
                <w:rFonts w:ascii="Aptos" w:hAnsi="Aptos"/>
                <w:sz w:val="15"/>
              </w:rPr>
              <w:t>Problem definition, domain requirements, data, acceptance criteria</w:t>
            </w:r>
          </w:p>
        </w:tc>
        <w:tc>
          <w:tcPr>
            <w:tcW w:type="dxa" w:w="3408"/>
          </w:tcPr>
          <w:p>
            <w:pPr>
              <w:spacing w:after="20"/>
            </w:pPr>
            <w:r>
              <w:rPr>
                <w:rFonts w:ascii="Aptos" w:hAnsi="Aptos"/>
                <w:sz w:val="15"/>
              </w:rPr>
              <w:t>Client data, background IP, acceptance and operating responsibilities</w:t>
            </w:r>
          </w:p>
        </w:tc>
      </w:tr>
      <w:tr>
        <w:tc>
          <w:tcPr>
            <w:tcW w:type="dxa" w:w="3408"/>
          </w:tcPr>
          <w:p>
            <w:pPr>
              <w:spacing w:after="20"/>
            </w:pPr>
            <w:r>
              <w:rPr>
                <w:rFonts w:ascii="Aptos" w:hAnsi="Aptos"/>
                <w:sz w:val="15"/>
              </w:rPr>
              <w:t>University / research partner</w:t>
            </w:r>
          </w:p>
        </w:tc>
        <w:tc>
          <w:tcPr>
            <w:tcW w:type="dxa" w:w="3408"/>
          </w:tcPr>
          <w:p>
            <w:pPr>
              <w:spacing w:after="20"/>
            </w:pPr>
            <w:r>
              <w:rPr>
                <w:rFonts w:ascii="Aptos" w:hAnsi="Aptos"/>
                <w:sz w:val="15"/>
              </w:rPr>
              <w:t>Research, experiments, expertise, evaluation</w:t>
            </w:r>
          </w:p>
        </w:tc>
        <w:tc>
          <w:tcPr>
            <w:tcW w:type="dxa" w:w="3408"/>
          </w:tcPr>
          <w:p>
            <w:pPr>
              <w:spacing w:after="20"/>
            </w:pPr>
            <w:r>
              <w:rPr>
                <w:rFonts w:ascii="Aptos" w:hAnsi="Aptos"/>
                <w:sz w:val="15"/>
              </w:rPr>
              <w:t>Publication, research access, IP, data and confidentiality</w:t>
            </w:r>
          </w:p>
        </w:tc>
      </w:tr>
      <w:tr>
        <w:tc>
          <w:tcPr>
            <w:tcW w:type="dxa" w:w="3408"/>
          </w:tcPr>
          <w:p>
            <w:pPr>
              <w:spacing w:after="20"/>
            </w:pPr>
            <w:r>
              <w:rPr>
                <w:rFonts w:ascii="Aptos" w:hAnsi="Aptos"/>
                <w:sz w:val="15"/>
              </w:rPr>
              <w:t>Infrastructure / colocation provider</w:t>
            </w:r>
          </w:p>
        </w:tc>
        <w:tc>
          <w:tcPr>
            <w:tcW w:type="dxa" w:w="3408"/>
          </w:tcPr>
          <w:p>
            <w:pPr>
              <w:spacing w:after="20"/>
            </w:pPr>
            <w:r>
              <w:rPr>
                <w:rFonts w:ascii="Aptos" w:hAnsi="Aptos"/>
                <w:sz w:val="15"/>
              </w:rPr>
              <w:t>Hosting, compute, storage, connectivity, operations</w:t>
            </w:r>
          </w:p>
        </w:tc>
        <w:tc>
          <w:tcPr>
            <w:tcW w:type="dxa" w:w="3408"/>
          </w:tcPr>
          <w:p>
            <w:pPr>
              <w:spacing w:after="20"/>
            </w:pPr>
            <w:r>
              <w:rPr>
                <w:rFonts w:ascii="Aptos" w:hAnsi="Aptos"/>
                <w:sz w:val="15"/>
              </w:rPr>
              <w:t>Service boundary, availability, security, support and charges</w:t>
            </w:r>
          </w:p>
        </w:tc>
      </w:tr>
      <w:tr>
        <w:tc>
          <w:tcPr>
            <w:tcW w:type="dxa" w:w="3408"/>
          </w:tcPr>
          <w:p>
            <w:pPr>
              <w:spacing w:after="20"/>
            </w:pPr>
            <w:r>
              <w:rPr>
                <w:rFonts w:ascii="Aptos" w:hAnsi="Aptos"/>
                <w:sz w:val="15"/>
              </w:rPr>
              <w:t>Technology partner</w:t>
            </w:r>
          </w:p>
        </w:tc>
        <w:tc>
          <w:tcPr>
            <w:tcW w:type="dxa" w:w="3408"/>
          </w:tcPr>
          <w:p>
            <w:pPr>
              <w:spacing w:after="20"/>
            </w:pPr>
            <w:r>
              <w:rPr>
                <w:rFonts w:ascii="Aptos" w:hAnsi="Aptos"/>
                <w:sz w:val="15"/>
              </w:rPr>
              <w:t>Hardware, software, SDKs and specialist capabilities</w:t>
            </w:r>
          </w:p>
        </w:tc>
        <w:tc>
          <w:tcPr>
            <w:tcW w:type="dxa" w:w="3408"/>
          </w:tcPr>
          <w:p>
            <w:pPr>
              <w:spacing w:after="20"/>
            </w:pPr>
            <w:r>
              <w:rPr>
                <w:rFonts w:ascii="Aptos" w:hAnsi="Aptos"/>
                <w:sz w:val="15"/>
              </w:rPr>
              <w:t>Licensing, compatibility, support and dependencies</w:t>
            </w:r>
          </w:p>
        </w:tc>
      </w:tr>
      <w:tr>
        <w:tc>
          <w:tcPr>
            <w:tcW w:type="dxa" w:w="3408"/>
          </w:tcPr>
          <w:p>
            <w:pPr>
              <w:spacing w:after="20"/>
            </w:pPr>
            <w:r>
              <w:rPr>
                <w:rFonts w:ascii="Aptos" w:hAnsi="Aptos"/>
                <w:sz w:val="15"/>
              </w:rPr>
              <w:t>Government / regional organization</w:t>
            </w:r>
          </w:p>
        </w:tc>
        <w:tc>
          <w:tcPr>
            <w:tcW w:type="dxa" w:w="3408"/>
          </w:tcPr>
          <w:p>
            <w:pPr>
              <w:spacing w:after="20"/>
            </w:pPr>
            <w:r>
              <w:rPr>
                <w:rFonts w:ascii="Aptos" w:hAnsi="Aptos"/>
                <w:sz w:val="15"/>
              </w:rPr>
              <w:t>Public needs, policy context, potential pilots or procurement</w:t>
            </w:r>
          </w:p>
        </w:tc>
        <w:tc>
          <w:tcPr>
            <w:tcW w:type="dxa" w:w="3408"/>
          </w:tcPr>
          <w:p>
            <w:pPr>
              <w:spacing w:after="20"/>
            </w:pPr>
            <w:r>
              <w:rPr>
                <w:rFonts w:ascii="Aptos" w:hAnsi="Aptos"/>
                <w:sz w:val="15"/>
              </w:rPr>
              <w:t>Eligibility, procurement, privacy, security and assurance</w:t>
            </w:r>
          </w:p>
        </w:tc>
      </w:tr>
    </w:tbl>
    <w:p/>
    <w:p>
      <w:pPr>
        <w:pStyle w:val="Heading1"/>
      </w:pPr>
      <w:r>
        <w:t>7. Client deployment decision process</w:t>
      </w:r>
    </w:p>
    <w:p>
      <w:pPr>
        <w:pStyle w:val="ListNumber"/>
        <w:spacing w:after="80"/>
      </w:pPr>
      <w:r>
        <w:t>Understand the client: problem, outcomes, users, existing systems, constraints and operating responsibilities.</w:t>
      </w:r>
    </w:p>
    <w:p>
      <w:pPr>
        <w:pStyle w:val="ListNumber"/>
        <w:spacing w:after="80"/>
      </w:pPr>
      <w:r>
        <w:t>Select ecosystem and service boundaries: choose relevant QAI capabilities; do not assume a full data centre is required.</w:t>
      </w:r>
    </w:p>
    <w:p>
      <w:pPr>
        <w:pStyle w:val="ListNumber"/>
        <w:spacing w:after="80"/>
      </w:pPr>
      <w:r>
        <w:t>Choose access mode: virtual desktop, native/existing client environment, direct API/CLI integration, or hybrid.</w:t>
      </w:r>
    </w:p>
    <w:p>
      <w:pPr>
        <w:pStyle w:val="ListNumber"/>
        <w:spacing w:after="80"/>
      </w:pPr>
      <w:r>
        <w:t>Configure the CPS system: select modules, virtual assets, relationships, workflows, dependencies and execution requirements.</w:t>
      </w:r>
    </w:p>
    <w:p>
      <w:pPr>
        <w:pStyle w:val="ListNumber"/>
        <w:spacing w:after="80"/>
      </w:pPr>
      <w:r>
        <w:t>Assess execution infrastructure: discover compatible resources and validate authorization, connectivity, capacity, data boundaries and cost.</w:t>
      </w:r>
    </w:p>
    <w:p>
      <w:pPr>
        <w:pStyle w:val="ListNumber"/>
        <w:spacing w:after="80"/>
      </w:pPr>
      <w:r>
        <w:t>Plan and approve: generate a reviewable plan, identify risks and acceptance criteria, obtain client approvals.</w:t>
      </w:r>
    </w:p>
    <w:p>
      <w:pPr>
        <w:pStyle w:val="ListNumber"/>
        <w:spacing w:after="80"/>
      </w:pPr>
      <w:r>
        <w:t>Deploy and integrate: use the standard QAI Deployment Operator where applicable and supported.</w:t>
      </w:r>
    </w:p>
    <w:p>
      <w:pPr>
        <w:pStyle w:val="ListNumber"/>
        <w:spacing w:after="80"/>
      </w:pPr>
      <w:r>
        <w:t>Validate and operate: run bounded tests, capture evidence, establish support and lifecycle responsibilities.</w:t>
      </w:r>
    </w:p>
    <w:p>
      <w:pPr>
        <w:pStyle w:val="Heading1"/>
      </w:pPr>
      <w:r>
        <w:t>8. Role of the QAI Deployment Operator</w:t>
      </w:r>
    </w:p>
    <w:p>
      <w:pPr>
        <w:spacing w:after="80"/>
      </w:pPr>
      <w:r>
        <w:t>The standard Operator is the controlled deployment mechanism where its capabilities and adapters support the target. It is not only a desktop manager, and the desktop image is not the deployment plan for the whole CPS system.</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Pr>
                <w:b/>
                <w:sz w:val="15"/>
              </w:rPr>
              <w:t>Concern</w:t>
            </w:r>
          </w:p>
        </w:tc>
        <w:tc>
          <w:tcPr>
            <w:tcW w:type="dxa" w:w="3408"/>
            <w:shd w:fill="D9EAF7"/>
          </w:tcPr>
          <w:p>
            <w:r>
              <w:rPr>
                <w:b/>
                <w:sz w:val="15"/>
              </w:rPr>
              <w:t>Operator/platform responsibility</w:t>
            </w:r>
          </w:p>
        </w:tc>
        <w:tc>
          <w:tcPr>
            <w:tcW w:type="dxa" w:w="3408"/>
            <w:shd w:fill="D9EAF7"/>
          </w:tcPr>
          <w:p>
            <w:r>
              <w:rPr>
                <w:b/>
                <w:sz w:val="15"/>
              </w:rPr>
              <w:t>Separate object</w:t>
            </w:r>
          </w:p>
        </w:tc>
      </w:tr>
      <w:tr>
        <w:tc>
          <w:tcPr>
            <w:tcW w:type="dxa" w:w="3408"/>
          </w:tcPr>
          <w:p>
            <w:pPr>
              <w:spacing w:after="20"/>
            </w:pPr>
            <w:r>
              <w:rPr>
                <w:rFonts w:ascii="Aptos" w:hAnsi="Aptos"/>
                <w:sz w:val="15"/>
              </w:rPr>
              <w:t>Desktop provisioning</w:t>
            </w:r>
          </w:p>
        </w:tc>
        <w:tc>
          <w:tcPr>
            <w:tcW w:type="dxa" w:w="3408"/>
          </w:tcPr>
          <w:p>
            <w:pPr>
              <w:spacing w:after="20"/>
            </w:pPr>
            <w:r>
              <w:rPr>
                <w:rFonts w:ascii="Aptos" w:hAnsi="Aptos"/>
                <w:sz w:val="15"/>
              </w:rPr>
              <w:t>Invoke or integrate with approved image provider where supported</w:t>
            </w:r>
          </w:p>
        </w:tc>
        <w:tc>
          <w:tcPr>
            <w:tcW w:type="dxa" w:w="3408"/>
          </w:tcPr>
          <w:p>
            <w:pPr>
              <w:spacing w:after="20"/>
            </w:pPr>
            <w:r>
              <w:rPr>
                <w:rFonts w:ascii="Aptos" w:hAnsi="Aptos"/>
                <w:sz w:val="15"/>
              </w:rPr>
              <w:t>Access Environment Profile and image catalogue</w:t>
            </w:r>
          </w:p>
        </w:tc>
      </w:tr>
      <w:tr>
        <w:tc>
          <w:tcPr>
            <w:tcW w:type="dxa" w:w="3408"/>
          </w:tcPr>
          <w:p>
            <w:pPr>
              <w:spacing w:after="20"/>
            </w:pPr>
            <w:r>
              <w:rPr>
                <w:rFonts w:ascii="Aptos" w:hAnsi="Aptos"/>
                <w:sz w:val="15"/>
              </w:rPr>
              <w:t>CPS deployment</w:t>
            </w:r>
          </w:p>
        </w:tc>
        <w:tc>
          <w:tcPr>
            <w:tcW w:type="dxa" w:w="3408"/>
          </w:tcPr>
          <w:p>
            <w:pPr>
              <w:spacing w:after="20"/>
            </w:pPr>
            <w:r>
              <w:rPr>
                <w:rFonts w:ascii="Aptos" w:hAnsi="Aptos"/>
                <w:sz w:val="15"/>
              </w:rPr>
              <w:t>Plan, approve, execute and validate supported module deployment</w:t>
            </w:r>
          </w:p>
        </w:tc>
        <w:tc>
          <w:tcPr>
            <w:tcW w:type="dxa" w:w="3408"/>
          </w:tcPr>
          <w:p>
            <w:pPr>
              <w:spacing w:after="20"/>
            </w:pPr>
            <w:r>
              <w:rPr>
                <w:rFonts w:ascii="Aptos" w:hAnsi="Aptos"/>
                <w:sz w:val="15"/>
              </w:rPr>
              <w:t>CPS system definition and module contracts</w:t>
            </w:r>
          </w:p>
        </w:tc>
      </w:tr>
      <w:tr>
        <w:tc>
          <w:tcPr>
            <w:tcW w:type="dxa" w:w="3408"/>
          </w:tcPr>
          <w:p>
            <w:pPr>
              <w:spacing w:after="20"/>
            </w:pPr>
            <w:r>
              <w:rPr>
                <w:rFonts w:ascii="Aptos" w:hAnsi="Aptos"/>
                <w:sz w:val="15"/>
              </w:rPr>
              <w:t>Resource integration</w:t>
            </w:r>
          </w:p>
        </w:tc>
        <w:tc>
          <w:tcPr>
            <w:tcW w:type="dxa" w:w="3408"/>
          </w:tcPr>
          <w:p>
            <w:pPr>
              <w:spacing w:after="20"/>
            </w:pPr>
            <w:r>
              <w:rPr>
                <w:rFonts w:ascii="Aptos" w:hAnsi="Aptos"/>
                <w:sz w:val="15"/>
              </w:rPr>
              <w:t>Assess and connect supported execution resources</w:t>
            </w:r>
          </w:p>
        </w:tc>
        <w:tc>
          <w:tcPr>
            <w:tcW w:type="dxa" w:w="3408"/>
          </w:tcPr>
          <w:p>
            <w:pPr>
              <w:spacing w:after="20"/>
            </w:pPr>
            <w:r>
              <w:rPr>
                <w:rFonts w:ascii="Aptos" w:hAnsi="Aptos"/>
                <w:sz w:val="15"/>
              </w:rPr>
              <w:t>Execution Resource Definition and provider interface</w:t>
            </w:r>
          </w:p>
        </w:tc>
      </w:tr>
      <w:tr>
        <w:tc>
          <w:tcPr>
            <w:tcW w:type="dxa" w:w="3408"/>
          </w:tcPr>
          <w:p>
            <w:pPr>
              <w:spacing w:after="20"/>
            </w:pPr>
            <w:r>
              <w:rPr>
                <w:rFonts w:ascii="Aptos" w:hAnsi="Aptos"/>
                <w:sz w:val="15"/>
              </w:rPr>
              <w:t>Governance/evidence</w:t>
            </w:r>
          </w:p>
        </w:tc>
        <w:tc>
          <w:tcPr>
            <w:tcW w:type="dxa" w:w="3408"/>
          </w:tcPr>
          <w:p>
            <w:pPr>
              <w:spacing w:after="20"/>
            </w:pPr>
            <w:r>
              <w:rPr>
                <w:rFonts w:ascii="Aptos" w:hAnsi="Aptos"/>
                <w:sz w:val="15"/>
              </w:rPr>
              <w:t>Enforce supported controls and record lifecycle outcomes</w:t>
            </w:r>
          </w:p>
        </w:tc>
        <w:tc>
          <w:tcPr>
            <w:tcW w:type="dxa" w:w="3408"/>
          </w:tcPr>
          <w:p>
            <w:pPr>
              <w:spacing w:after="20"/>
            </w:pPr>
            <w:r>
              <w:rPr>
                <w:rFonts w:ascii="Aptos" w:hAnsi="Aptos"/>
                <w:sz w:val="15"/>
              </w:rPr>
              <w:t>Policy, authorization, audit, evidence and retention rules</w:t>
            </w:r>
          </w:p>
        </w:tc>
      </w:tr>
    </w:tbl>
    <w:p/>
    <w:p>
      <w:pPr>
        <w:spacing w:after="80"/>
      </w:pPr>
      <w:r>
        <w:t>Confirm actual Operator capabilities against repository implementation and acceptance tests. Unsupported or unimplemented steps remain planned work, not production-ready claims.</w:t>
      </w:r>
    </w:p>
    <w:p>
      <w:pPr>
        <w:pStyle w:val="Heading1"/>
      </w:pPr>
      <w:r>
        <w:t>9. Conceptual contracts to map into existing repositories</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Pr>
                <w:b/>
                <w:sz w:val="15"/>
              </w:rPr>
              <w:t>Contract / record</w:t>
            </w:r>
          </w:p>
        </w:tc>
        <w:tc>
          <w:tcPr>
            <w:tcW w:type="dxa" w:w="3408"/>
            <w:shd w:fill="D9EAF7"/>
          </w:tcPr>
          <w:p>
            <w:r>
              <w:rPr>
                <w:b/>
                <w:sz w:val="15"/>
              </w:rPr>
              <w:t>Purpose</w:t>
            </w:r>
          </w:p>
        </w:tc>
        <w:tc>
          <w:tcPr>
            <w:tcW w:type="dxa" w:w="3408"/>
            <w:shd w:fill="D9EAF7"/>
          </w:tcPr>
          <w:p>
            <w:r>
              <w:rPr>
                <w:b/>
                <w:sz w:val="15"/>
              </w:rPr>
              <w:t>Existing areas to inspect</w:t>
            </w:r>
          </w:p>
        </w:tc>
      </w:tr>
      <w:tr>
        <w:tc>
          <w:tcPr>
            <w:tcW w:type="dxa" w:w="3408"/>
          </w:tcPr>
          <w:p>
            <w:pPr>
              <w:spacing w:after="20"/>
            </w:pPr>
            <w:r>
              <w:rPr>
                <w:rFonts w:ascii="Aptos" w:hAnsi="Aptos"/>
                <w:sz w:val="15"/>
              </w:rPr>
              <w:t>Access Environment Profile</w:t>
            </w:r>
          </w:p>
        </w:tc>
        <w:tc>
          <w:tcPr>
            <w:tcW w:type="dxa" w:w="3408"/>
          </w:tcPr>
          <w:p>
            <w:pPr>
              <w:spacing w:after="20"/>
            </w:pPr>
            <w:r>
              <w:rPr>
                <w:rFonts w:ascii="Aptos" w:hAnsi="Aptos"/>
                <w:sz w:val="15"/>
              </w:rPr>
              <w:t>Access mode, image/client requirements, tools, session and persistence settings</w:t>
            </w:r>
          </w:p>
        </w:tc>
        <w:tc>
          <w:tcPr>
            <w:tcW w:type="dxa" w:w="3408"/>
          </w:tcPr>
          <w:p>
            <w:pPr>
              <w:spacing w:after="20"/>
            </w:pPr>
            <w:r>
              <w:rPr>
                <w:rFonts w:ascii="Aptos" w:hAnsi="Aptos"/>
                <w:sz w:val="15"/>
              </w:rPr>
              <w:t>QAI Hub, learning environment and access-related assets</w:t>
            </w:r>
          </w:p>
        </w:tc>
      </w:tr>
      <w:tr>
        <w:tc>
          <w:tcPr>
            <w:tcW w:type="dxa" w:w="3408"/>
          </w:tcPr>
          <w:p>
            <w:pPr>
              <w:spacing w:after="20"/>
            </w:pPr>
            <w:r>
              <w:rPr>
                <w:rFonts w:ascii="Aptos" w:hAnsi="Aptos"/>
                <w:sz w:val="15"/>
              </w:rPr>
              <w:t>CPS System Definition</w:t>
            </w:r>
          </w:p>
        </w:tc>
        <w:tc>
          <w:tcPr>
            <w:tcW w:type="dxa" w:w="3408"/>
          </w:tcPr>
          <w:p>
            <w:pPr>
              <w:spacing w:after="20"/>
            </w:pPr>
            <w:r>
              <w:rPr>
                <w:rFonts w:ascii="Aptos" w:hAnsi="Aptos"/>
                <w:sz w:val="15"/>
              </w:rPr>
              <w:t>Modules, virtual assets, relationships, workflows, capabilities and constraints</w:t>
            </w:r>
          </w:p>
        </w:tc>
        <w:tc>
          <w:tcPr>
            <w:tcW w:type="dxa" w:w="3408"/>
          </w:tcPr>
          <w:p>
            <w:pPr>
              <w:spacing w:after="20"/>
            </w:pPr>
            <w:r>
              <w:rPr>
                <w:rFonts w:ascii="Aptos" w:hAnsi="Aptos"/>
                <w:sz w:val="15"/>
              </w:rPr>
              <w:t>QAI CPS, virtual asset and domain model code</w:t>
            </w:r>
          </w:p>
        </w:tc>
      </w:tr>
      <w:tr>
        <w:tc>
          <w:tcPr>
            <w:tcW w:type="dxa" w:w="3408"/>
          </w:tcPr>
          <w:p>
            <w:pPr>
              <w:spacing w:after="20"/>
            </w:pPr>
            <w:r>
              <w:rPr>
                <w:rFonts w:ascii="Aptos" w:hAnsi="Aptos"/>
                <w:sz w:val="15"/>
              </w:rPr>
              <w:t>Execution Resource Definition</w:t>
            </w:r>
          </w:p>
        </w:tc>
        <w:tc>
          <w:tcPr>
            <w:tcW w:type="dxa" w:w="3408"/>
          </w:tcPr>
          <w:p>
            <w:pPr>
              <w:spacing w:after="20"/>
            </w:pPr>
            <w:r>
              <w:rPr>
                <w:rFonts w:ascii="Aptos" w:hAnsi="Aptos"/>
                <w:sz w:val="15"/>
              </w:rPr>
              <w:t>Location, interface, capacity, compatibility, ownership and access constraints</w:t>
            </w:r>
          </w:p>
        </w:tc>
        <w:tc>
          <w:tcPr>
            <w:tcW w:type="dxa" w:w="3408"/>
          </w:tcPr>
          <w:p>
            <w:pPr>
              <w:spacing w:after="20"/>
            </w:pPr>
            <w:r>
              <w:rPr>
                <w:rFonts w:ascii="Aptos" w:hAnsi="Aptos"/>
                <w:sz w:val="15"/>
              </w:rPr>
              <w:t>Resource discovery, adapters and infrastructure integration</w:t>
            </w:r>
          </w:p>
        </w:tc>
      </w:tr>
      <w:tr>
        <w:tc>
          <w:tcPr>
            <w:tcW w:type="dxa" w:w="3408"/>
          </w:tcPr>
          <w:p>
            <w:pPr>
              <w:spacing w:after="20"/>
            </w:pPr>
            <w:r>
              <w:rPr>
                <w:rFonts w:ascii="Aptos" w:hAnsi="Aptos"/>
                <w:sz w:val="15"/>
              </w:rPr>
              <w:t>Deployment Plan</w:t>
            </w:r>
          </w:p>
        </w:tc>
        <w:tc>
          <w:tcPr>
            <w:tcW w:type="dxa" w:w="3408"/>
          </w:tcPr>
          <w:p>
            <w:pPr>
              <w:spacing w:after="20"/>
            </w:pPr>
            <w:r>
              <w:rPr>
                <w:rFonts w:ascii="Aptos" w:hAnsi="Aptos"/>
                <w:sz w:val="15"/>
              </w:rPr>
              <w:t>Approved actions, dependencies, sequence, rollback and acceptance criteria</w:t>
            </w:r>
          </w:p>
        </w:tc>
        <w:tc>
          <w:tcPr>
            <w:tcW w:type="dxa" w:w="3408"/>
          </w:tcPr>
          <w:p>
            <w:pPr>
              <w:spacing w:after="20"/>
            </w:pPr>
            <w:r>
              <w:rPr>
                <w:rFonts w:ascii="Aptos" w:hAnsi="Aptos"/>
                <w:sz w:val="15"/>
              </w:rPr>
              <w:t>QAI Deployment Operator</w:t>
            </w:r>
          </w:p>
        </w:tc>
      </w:tr>
      <w:tr>
        <w:tc>
          <w:tcPr>
            <w:tcW w:type="dxa" w:w="3408"/>
          </w:tcPr>
          <w:p>
            <w:pPr>
              <w:spacing w:after="20"/>
            </w:pPr>
            <w:r>
              <w:rPr>
                <w:rFonts w:ascii="Aptos" w:hAnsi="Aptos"/>
                <w:sz w:val="15"/>
              </w:rPr>
              <w:t>Governance and Evidence Record</w:t>
            </w:r>
          </w:p>
        </w:tc>
        <w:tc>
          <w:tcPr>
            <w:tcW w:type="dxa" w:w="3408"/>
          </w:tcPr>
          <w:p>
            <w:pPr>
              <w:spacing w:after="20"/>
            </w:pPr>
            <w:r>
              <w:rPr>
                <w:rFonts w:ascii="Aptos" w:hAnsi="Aptos"/>
                <w:sz w:val="15"/>
              </w:rPr>
              <w:t>Authorization, data boundaries, validation, audit, lifecycle and results</w:t>
            </w:r>
          </w:p>
        </w:tc>
        <w:tc>
          <w:tcPr>
            <w:tcW w:type="dxa" w:w="3408"/>
          </w:tcPr>
          <w:p>
            <w:pPr>
              <w:spacing w:after="20"/>
            </w:pPr>
            <w:r>
              <w:rPr>
                <w:rFonts w:ascii="Aptos" w:hAnsi="Aptos"/>
                <w:sz w:val="15"/>
              </w:rPr>
              <w:t>Assurance, monitoring, evidence and lifecycle components</w:t>
            </w:r>
          </w:p>
        </w:tc>
      </w:tr>
    </w:tbl>
    <w:p/>
    <w:p>
      <w:pPr>
        <w:spacing w:after="80"/>
      </w:pPr>
      <w:r>
        <w:t>These are conceptual contracts, not an instruction to create five new directories. Inspect existing repositories and extend schemas or modules where appropriate.</w:t>
      </w:r>
    </w:p>
    <w:p>
      <w:pPr>
        <w:pStyle w:val="Heading1"/>
      </w:pPr>
      <w:r>
        <w:t>10. Minimum demonstration and acceptance tests</w:t>
      </w:r>
    </w:p>
    <w:p>
      <w:pPr>
        <w:spacing w:after="80"/>
      </w:pPr>
      <w:r>
        <w:t>Demonstrate two paths with the same bounded workload:</w:t>
      </w:r>
    </w:p>
    <w:p>
      <w:pPr>
        <w:pStyle w:val="ListNumber"/>
        <w:spacing w:after="80"/>
      </w:pPr>
      <w:r>
        <w:t>Path A: provision a QAI Developer or Quantum Lab desktop, open a controlled Git repository, run a Python notebook against a classical simulator, save approved work, and close the session.</w:t>
      </w:r>
    </w:p>
    <w:p>
      <w:pPr>
        <w:pStyle w:val="ListNumber"/>
        <w:spacing w:after="80"/>
      </w:pPr>
      <w:r>
        <w:t>Path B: use a native client environment or API to invoke the same supported CPS capability without provisioning a virtual desktop.</w:t>
      </w:r>
    </w:p>
    <w:p>
      <w:pPr>
        <w:pStyle w:val="ListNumber"/>
        <w:spacing w:after="80"/>
      </w:pPr>
      <w:r>
        <w:t>Compare setup effort, compatibility, results, isolation, data handling, resource use, error handling and evidence completeness.</w:t>
      </w:r>
    </w:p>
    <w:p>
      <w:pPr>
        <w:spacing w:after="80"/>
      </w:pPr>
      <w:r>
        <w:t>Minimum acceptance checks:</w:t>
      </w:r>
    </w:p>
    <w:p>
      <w:pPr>
        <w:pStyle w:val="ListBullet"/>
        <w:spacing w:after="80"/>
      </w:pPr>
      <w:r>
        <w:t>Desktop can be provisioned, validated, reset and released without exposing a previous user session.</w:t>
      </w:r>
    </w:p>
    <w:p>
      <w:pPr>
        <w:pStyle w:val="ListBullet"/>
        <w:spacing w:after="80"/>
      </w:pPr>
      <w:r>
        <w:t>Native/API path works without requiring a virtual desktop.</w:t>
      </w:r>
    </w:p>
    <w:p>
      <w:pPr>
        <w:pStyle w:val="ListBullet"/>
        <w:spacing w:after="80"/>
      </w:pPr>
      <w:r>
        <w:t>CPS definitions remain distinct from access profiles and infrastructure records.</w:t>
      </w:r>
    </w:p>
    <w:p>
      <w:pPr>
        <w:pStyle w:val="ListBullet"/>
        <w:spacing w:after="80"/>
      </w:pPr>
      <w:r>
        <w:t>Execution is blocked unless identity, authorization, compatibility and required approvals are satisfied.</w:t>
      </w:r>
    </w:p>
    <w:p>
      <w:pPr>
        <w:pStyle w:val="ListBullet"/>
        <w:spacing w:after="80"/>
      </w:pPr>
      <w:r>
        <w:t>Data location, approved transfers, logs, retention and result handling are documented and tested.</w:t>
      </w:r>
    </w:p>
    <w:p>
      <w:pPr>
        <w:pStyle w:val="ListBullet"/>
        <w:spacing w:after="80"/>
      </w:pPr>
      <w:r>
        <w:t>Failure, rollback, resource release and audit/evidence paths are tested.</w:t>
      </w:r>
    </w:p>
    <w:p>
      <w:pPr>
        <w:pStyle w:val="ListBullet"/>
        <w:spacing w:after="80"/>
      </w:pPr>
      <w:r>
        <w:t>Documented feature status matches implementation evidence.</w:t>
      </w:r>
    </w:p>
    <w:p>
      <w:pPr>
        <w:pStyle w:val="Heading1"/>
      </w:pPr>
      <w:r>
        <w:t>11. Summary and architecture rule</w:t>
      </w:r>
    </w:p>
    <w:p>
      <w:pPr>
        <w:spacing w:after="80"/>
      </w:pPr>
      <w:r>
        <w:t>Keep the ten QAI ecosystem boundaries, but do not model them as desktop types. Keep virtual desktop profiles separate from CPS virtual assets, and keep both separate from execution infrastructure. Let each client choose an access mode and service combination appropriate to its environment; use the QAI Deployment Operator for supported deployment actions and integrate the layers through explicit, governed interfaces.</w:t>
      </w:r>
    </w:p>
    <w:p>
      <w:pPr>
        <w:spacing w:after="80"/>
        <w:jc w:val="center"/>
      </w:pPr>
      <w:r>
        <w:rPr>
          <w:b/>
          <w:color w:val="1F4E79"/>
          <w:sz w:val="22"/>
        </w:rPr>
        <w:t>One QAI ecosystem • Clear boundaries • Optional virtualization • Governed integration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Bhadale IT | QAI Deployment Boundaries &amp; Client Integration Model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