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BHADALE IT</w:t>
      </w:r>
    </w:p>
    <w:p>
      <w:pPr>
        <w:pStyle w:val="Title"/>
        <w:jc w:val="center"/>
      </w:pPr>
      <w:r>
        <w:t>QAI Shared Infrastructure Onboarding</w:t>
        <w:br/>
        <w:t>&amp; VS Code Development Plan</w:t>
      </w:r>
    </w:p>
    <w:p>
      <w:pPr>
        <w:jc w:val="center"/>
      </w:pPr>
      <w:r>
        <w:rPr>
          <w:i/>
        </w:rPr>
        <w:t>Sydney-first | Federated CPS assets | Non-migrating execution</w:t>
      </w:r>
    </w:p>
    <w:p>
      <w:pPr>
        <w:jc w:val="center"/>
      </w:pPr>
      <w:r>
        <w:t>Working design proposal • Version 1.0 • 20 October 2026</w:t>
      </w:r>
    </w:p>
    <w:p>
      <w:pPr>
        <w:pStyle w:val="Heading1"/>
      </w:pPr>
      <w:r>
        <w:t>Purpose and core principle</w:t>
      </w:r>
    </w:p>
    <w:p>
      <w:r>
        <w:t>Define a generic, provider-independent method to onboard authorized external infrastructure into the QAI Cyber-Physical System (CPS), create validated virtual asset representations, assess availability and power constraints, and allocate resources to approved projects. Scope includes public/private cloud, government servers, university research clusters, colocation infrastructure, dependent systems, and supported quantum computing or communication services.</w:t>
      </w:r>
    </w:p>
    <w:p>
      <w:r>
        <w:rPr>
          <w:b/>
        </w:rPr>
        <w:t xml:space="preserve">Core principle. </w:t>
      </w:r>
      <w:r>
        <w:t>Onboard, virtualize and orchestrate authorized external infrastructure without migrating client infrastructure or copying confidential client datasets. Execution remains in the client/provider environment. Only approved operational metadata, QAI-generated logs, and explicitly authorized results may cross the boundary, subject to classification and policy.</w:t>
      </w:r>
    </w:p>
    <w:p>
      <w:pPr>
        <w:pStyle w:val="Heading1"/>
      </w:pPr>
      <w:r>
        <w:t>1. Executive summary</w:t>
      </w:r>
    </w:p>
    <w:p>
      <w:r>
        <w:t>QAI-DCaaS is a virtualized, problem-driven CPS engineering and compute-orchestration service, not a physical infrastructure supply business. It connects authorized project requests to compatible execution resources while preserving client control of infrastructure, data and local policies. The CPS maintains logical representations of external assets; the QAI Deployment Operator manages discovery, planning, approval, execution, monitoring, evidence capture and release through supported interfaces.</w:t>
      </w:r>
    </w:p>
    <w:p>
      <w:pPr>
        <w:pStyle w:val="ListBullet"/>
      </w:pPr>
      <w:r>
        <w:t>Sydney is the first-choice Australian market for provider discovery; no access or partnership is assumed until verified.</w:t>
      </w:r>
    </w:p>
    <w:p>
      <w:pPr>
        <w:pStyle w:val="ListBullet"/>
      </w:pPr>
      <w:r>
        <w:t>Use one generic onboarding contract with provider-specific adapters for authentication, discovery, capability mapping and execution.</w:t>
      </w:r>
    </w:p>
    <w:p>
      <w:pPr>
        <w:pStyle w:val="ListBullet"/>
      </w:pPr>
      <w:r>
        <w:t>Registration, validation, virtualization and current availability are distinct states.</w:t>
      </w:r>
    </w:p>
    <w:p>
      <w:pPr>
        <w:pStyle w:val="ListBullet"/>
      </w:pPr>
      <w:r>
        <w:t>Power availability and compute capacity must be assessed independently and together.</w:t>
      </w:r>
    </w:p>
    <w:p>
      <w:pPr>
        <w:pStyle w:val="ListBullet"/>
      </w:pPr>
      <w:r>
        <w:t>Current engineering priority remains stabilizing the QAI Deployment Operator and its open-loop lifecycle before broad physical-resource integrations.</w:t>
      </w:r>
    </w:p>
    <w:p>
      <w:pPr>
        <w:pStyle w:val="Heading1"/>
      </w:pPr>
      <w:r>
        <w:t>2. Deployment profiles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Profile</w:t>
            </w:r>
          </w:p>
        </w:tc>
        <w:tc>
          <w:tcPr>
            <w:tcW w:type="dxa" w:w="3408"/>
          </w:tcPr>
          <w:p>
            <w:r>
              <w:rPr>
                <w:b/>
                <w:sz w:val="16"/>
              </w:rPr>
              <w:t>Purpose / execution</w:t>
            </w:r>
          </w:p>
        </w:tc>
        <w:tc>
          <w:tcPr>
            <w:tcW w:type="dxa" w:w="3408"/>
          </w:tcPr>
          <w:p>
            <w:r>
              <w:rPr>
                <w:b/>
                <w:sz w:val="16"/>
              </w:rPr>
              <w:t>Key qualification</w:t>
            </w:r>
          </w:p>
        </w:tc>
      </w:tr>
      <w:tr>
        <w:tc>
          <w:tcPr>
            <w:tcW w:type="dxa" w:w="3408"/>
          </w:tcPr>
          <w:p>
            <w:pPr>
              <w:spacing w:after="20"/>
            </w:pPr>
            <w:r>
              <w:rPr>
                <w:sz w:val="15"/>
              </w:rPr>
              <w:t>QAI Mobile Research</w:t>
            </w:r>
          </w:p>
        </w:tc>
        <w:tc>
          <w:tcPr>
            <w:tcW w:type="dxa" w:w="3408"/>
          </w:tcPr>
          <w:p>
            <w:pPr>
              <w:spacing w:after="20"/>
            </w:pPr>
            <w:r>
              <w:rPr>
                <w:sz w:val="15"/>
              </w:rPr>
              <w:t>Individual researcher; compatible local CPU/GPU, simulators/emulators and optional remote backends</w:t>
            </w:r>
          </w:p>
        </w:tc>
        <w:tc>
          <w:tcPr>
            <w:tcW w:type="dxa" w:w="3408"/>
          </w:tcPr>
          <w:p>
            <w:pPr>
              <w:spacing w:after="20"/>
            </w:pPr>
            <w:r>
              <w:rPr>
                <w:sz w:val="15"/>
              </w:rPr>
              <w:t>Hardware, OS, runtime and backend compatibility</w:t>
            </w:r>
          </w:p>
        </w:tc>
      </w:tr>
      <w:tr>
        <w:tc>
          <w:tcPr>
            <w:tcW w:type="dxa" w:w="3408"/>
          </w:tcPr>
          <w:p>
            <w:pPr>
              <w:spacing w:after="20"/>
            </w:pPr>
            <w:r>
              <w:rPr>
                <w:sz w:val="15"/>
              </w:rPr>
              <w:t>QAI Shared Research Cluster</w:t>
            </w:r>
          </w:p>
        </w:tc>
        <w:tc>
          <w:tcPr>
            <w:tcW w:type="dxa" w:w="3408"/>
          </w:tcPr>
          <w:p>
            <w:pPr>
              <w:spacing w:after="20"/>
            </w:pPr>
            <w:r>
              <w:rPr>
                <w:sz w:val="15"/>
              </w:rPr>
              <w:t>University/HPC/colocation resources; scheduled shared jobs</w:t>
            </w:r>
          </w:p>
        </w:tc>
        <w:tc>
          <w:tcPr>
            <w:tcW w:type="dxa" w:w="3408"/>
          </w:tcPr>
          <w:p>
            <w:pPr>
              <w:spacing w:after="20"/>
            </w:pPr>
            <w:r>
              <w:rPr>
                <w:sz w:val="15"/>
              </w:rPr>
              <w:t>External-user eligibility, quotas, scheduling and data controls</w:t>
            </w:r>
          </w:p>
        </w:tc>
      </w:tr>
      <w:tr>
        <w:tc>
          <w:tcPr>
            <w:tcW w:type="dxa" w:w="3408"/>
          </w:tcPr>
          <w:p>
            <w:pPr>
              <w:spacing w:after="20"/>
            </w:pPr>
            <w:r>
              <w:rPr>
                <w:sz w:val="15"/>
              </w:rPr>
              <w:t>QAI Centralized DCaaS</w:t>
            </w:r>
          </w:p>
        </w:tc>
        <w:tc>
          <w:tcPr>
            <w:tcW w:type="dxa" w:w="3408"/>
          </w:tcPr>
          <w:p>
            <w:pPr>
              <w:spacing w:after="20"/>
            </w:pPr>
            <w:r>
              <w:rPr>
                <w:sz w:val="15"/>
              </w:rPr>
              <w:t>Managed service for subsidiaries, clients and projects</w:t>
            </w:r>
          </w:p>
        </w:tc>
        <w:tc>
          <w:tcPr>
            <w:tcW w:type="dxa" w:w="3408"/>
          </w:tcPr>
          <w:p>
            <w:pPr>
              <w:spacing w:after="20"/>
            </w:pPr>
            <w:r>
              <w:rPr>
                <w:sz w:val="15"/>
              </w:rPr>
              <w:t>Tenant isolation, allocation governance, metering and support</w:t>
            </w:r>
          </w:p>
        </w:tc>
      </w:tr>
      <w:tr>
        <w:tc>
          <w:tcPr>
            <w:tcW w:type="dxa" w:w="3408"/>
          </w:tcPr>
          <w:p>
            <w:pPr>
              <w:spacing w:after="20"/>
            </w:pPr>
            <w:r>
              <w:rPr>
                <w:sz w:val="15"/>
              </w:rPr>
              <w:t>QAI Public Learning Terminal</w:t>
            </w:r>
          </w:p>
        </w:tc>
        <w:tc>
          <w:tcPr>
            <w:tcW w:type="dxa" w:w="3408"/>
          </w:tcPr>
          <w:p>
            <w:pPr>
              <w:spacing w:after="20"/>
            </w:pPr>
            <w:r>
              <w:rPr>
                <w:sz w:val="15"/>
              </w:rPr>
              <w:t>FAEP Academy and approved public learning</w:t>
            </w:r>
          </w:p>
        </w:tc>
        <w:tc>
          <w:tcPr>
            <w:tcW w:type="dxa" w:w="3408"/>
          </w:tcPr>
          <w:p>
            <w:pPr>
              <w:spacing w:after="20"/>
            </w:pPr>
            <w:r>
              <w:rPr>
                <w:sz w:val="15"/>
              </w:rPr>
              <w:t>Session isolation, quotas, reset/cleanup and acceptable use</w:t>
            </w:r>
          </w:p>
        </w:tc>
      </w:tr>
      <w:tr>
        <w:tc>
          <w:tcPr>
            <w:tcW w:type="dxa" w:w="3408"/>
          </w:tcPr>
          <w:p>
            <w:pPr>
              <w:spacing w:after="20"/>
            </w:pPr>
            <w:r>
              <w:rPr>
                <w:sz w:val="15"/>
              </w:rPr>
              <w:t>Federated Client/Agency Environment</w:t>
            </w:r>
          </w:p>
        </w:tc>
        <w:tc>
          <w:tcPr>
            <w:tcW w:type="dxa" w:w="3408"/>
          </w:tcPr>
          <w:p>
            <w:pPr>
              <w:spacing w:after="20"/>
            </w:pPr>
            <w:r>
              <w:rPr>
                <w:sz w:val="15"/>
              </w:rPr>
              <w:t>Government or enterprise systems remain client-controlled</w:t>
            </w:r>
          </w:p>
        </w:tc>
        <w:tc>
          <w:tcPr>
            <w:tcW w:type="dxa" w:w="3408"/>
          </w:tcPr>
          <w:p>
            <w:pPr>
              <w:spacing w:after="20"/>
            </w:pPr>
            <w:r>
              <w:rPr>
                <w:sz w:val="15"/>
              </w:rPr>
              <w:t>Agency authorization, security boundary, export and audit rules</w:t>
            </w:r>
          </w:p>
        </w:tc>
      </w:tr>
    </w:tbl>
    <w:p/>
    <w:p>
      <w:pPr>
        <w:pStyle w:val="Heading1"/>
      </w:pPr>
      <w:r>
        <w:t>3. Generic onboarding procedure</w:t>
      </w:r>
    </w:p>
    <w:p>
      <w:r>
        <w:t>IDENTIFY PROVIDER → AUTHENTICATE → AUTHORIZE → DISCOVER → REGISTER → VIRTUALIZE → VALIDATE → ACTIVATE → PUBLISH AVAILABILITY</w:t>
      </w:r>
    </w:p>
    <w:p>
      <w:pPr>
        <w:pStyle w:val="Heading2"/>
      </w:pPr>
      <w:r>
        <w:t>Stage 1 — Provider and facility qualification</w:t>
      </w:r>
    </w:p>
    <w:p>
      <w:pPr>
        <w:pStyle w:val="ListBullet"/>
      </w:pPr>
      <w:r>
        <w:t>Record provider/facility identity, jurisdiction, technical and commercial contacts, ownership and operational authority.</w:t>
      </w:r>
    </w:p>
    <w:p>
      <w:pPr>
        <w:pStyle w:val="ListBullet"/>
      </w:pPr>
      <w:r>
        <w:t>Record permitted users, services, access route, contracts, data/IP conditions, support and escalation paths.</w:t>
      </w:r>
    </w:p>
    <w:p>
      <w:pPr>
        <w:pStyle w:val="ListBullet"/>
      </w:pPr>
      <w:r>
        <w:t>Determine whether discovery is automated, manually approved or prohibited. Visibility through a researcher account does not prove a resource is allocatable.</w:t>
      </w:r>
    </w:p>
    <w:p>
      <w:pPr>
        <w:pStyle w:val="Heading2"/>
      </w:pPr>
      <w:r>
        <w:t>Stage 2 — Authentication and authorization</w:t>
      </w:r>
    </w:p>
    <w:p>
      <w:pPr>
        <w:pStyle w:val="ListBullet"/>
      </w:pPr>
      <w:r>
        <w:t>Support provider-approved SSH keys, federated identity, cloud IAM roles, workload identities, OAuth/OIDC, scheduler access and API credentials as applicable.</w:t>
      </w:r>
    </w:p>
    <w:p>
      <w:pPr>
        <w:pStyle w:val="ListBullet"/>
      </w:pPr>
      <w:r>
        <w:t>Prefer least privilege, scoped identities, short-lived credentials and an approved secrets manager or credential broker.</w:t>
      </w:r>
    </w:p>
    <w:p>
      <w:pPr>
        <w:pStyle w:val="ListBullet"/>
      </w:pPr>
      <w:r>
        <w:t>Never put passwords, tokens or private keys in CPS records, source code, notebooks or logs.</w:t>
      </w:r>
    </w:p>
    <w:p>
      <w:pPr>
        <w:pStyle w:val="ListBullet"/>
      </w:pPr>
      <w:r>
        <w:t>Login establishes identity, not permission for every discovery, reservation, execution or export action.</w:t>
      </w:r>
    </w:p>
    <w:p>
      <w:pPr>
        <w:pStyle w:val="ListBullet"/>
      </w:pPr>
      <w:r>
        <w:t>For restricted environments, consider a client-hosted execution agent or approved job gateway; outbound-only connectivity may be preferable where allowed.</w:t>
      </w:r>
    </w:p>
    <w:p>
      <w:pPr>
        <w:pStyle w:val="Heading2"/>
      </w:pPr>
      <w:r>
        <w:t>Stage 3 — Register assets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Field group</w:t>
            </w:r>
          </w:p>
        </w:tc>
        <w:tc>
          <w:tcPr>
            <w:tcW w:type="dxa" w:w="5112"/>
          </w:tcPr>
          <w:p>
            <w:r>
              <w:rPr>
                <w:b/>
                <w:sz w:val="16"/>
              </w:rPr>
              <w:t>Required information</w:t>
            </w:r>
          </w:p>
        </w:tc>
      </w:tr>
      <w:tr>
        <w:tc>
          <w:tcPr>
            <w:tcW w:type="dxa" w:w="5112"/>
          </w:tcPr>
          <w:p>
            <w:pPr>
              <w:spacing w:after="20"/>
            </w:pPr>
            <w:r>
              <w:rPr>
                <w:sz w:val="15"/>
              </w:rPr>
              <w:t>Identity</w:t>
            </w:r>
          </w:p>
        </w:tc>
        <w:tc>
          <w:tcPr>
            <w:tcW w:type="dxa" w:w="5112"/>
          </w:tcPr>
          <w:p>
            <w:pPr>
              <w:spacing w:after="20"/>
            </w:pPr>
            <w:r>
              <w:rPr>
                <w:sz w:val="15"/>
              </w:rPr>
              <w:t>Stable asset/provider/facility IDs; parent-child relationships; asset category; physical/logical type</w:t>
            </w:r>
          </w:p>
        </w:tc>
      </w:tr>
      <w:tr>
        <w:tc>
          <w:tcPr>
            <w:tcW w:type="dxa" w:w="5112"/>
          </w:tcPr>
          <w:p>
            <w:pPr>
              <w:spacing w:after="20"/>
            </w:pPr>
            <w:r>
              <w:rPr>
                <w:sz w:val="15"/>
              </w:rPr>
              <w:t>Authority</w:t>
            </w:r>
          </w:p>
        </w:tc>
        <w:tc>
          <w:tcPr>
            <w:tcW w:type="dxa" w:w="5112"/>
          </w:tcPr>
          <w:p>
            <w:pPr>
              <w:spacing w:after="20"/>
            </w:pPr>
            <w:r>
              <w:rPr>
                <w:sz w:val="15"/>
              </w:rPr>
              <w:t>Owner, operator, management authority, permitted users, approvals and provider terms</w:t>
            </w:r>
          </w:p>
        </w:tc>
      </w:tr>
      <w:tr>
        <w:tc>
          <w:tcPr>
            <w:tcW w:type="dxa" w:w="5112"/>
          </w:tcPr>
          <w:p>
            <w:pPr>
              <w:spacing w:after="20"/>
            </w:pPr>
            <w:r>
              <w:rPr>
                <w:sz w:val="15"/>
              </w:rPr>
              <w:t>Capability</w:t>
            </w:r>
          </w:p>
        </w:tc>
        <w:tc>
          <w:tcPr>
            <w:tcW w:type="dxa" w:w="5112"/>
          </w:tcPr>
          <w:p>
            <w:pPr>
              <w:spacing w:after="20"/>
            </w:pPr>
            <w:r>
              <w:rPr>
                <w:sz w:val="15"/>
              </w:rPr>
              <w:t>CPU/GPU, memory, storage, networking, scheduler, quantum interface or communication equipment</w:t>
            </w:r>
          </w:p>
        </w:tc>
      </w:tr>
      <w:tr>
        <w:tc>
          <w:tcPr>
            <w:tcW w:type="dxa" w:w="5112"/>
          </w:tcPr>
          <w:p>
            <w:pPr>
              <w:spacing w:after="20"/>
            </w:pPr>
            <w:r>
              <w:rPr>
                <w:sz w:val="15"/>
              </w:rPr>
              <w:t>Constraints</w:t>
            </w:r>
          </w:p>
        </w:tc>
        <w:tc>
          <w:tcPr>
            <w:tcW w:type="dxa" w:w="5112"/>
          </w:tcPr>
          <w:p>
            <w:pPr>
              <w:spacing w:after="20"/>
            </w:pPr>
            <w:r>
              <w:rPr>
                <w:sz w:val="15"/>
              </w:rPr>
              <w:t>Quotas, time windows, power/cooling limits, dependencies, data classifications, network boundaries and maintenance</w:t>
            </w:r>
          </w:p>
        </w:tc>
      </w:tr>
      <w:tr>
        <w:tc>
          <w:tcPr>
            <w:tcW w:type="dxa" w:w="5112"/>
          </w:tcPr>
          <w:p>
            <w:pPr>
              <w:spacing w:after="20"/>
            </w:pPr>
            <w:r>
              <w:rPr>
                <w:sz w:val="15"/>
              </w:rPr>
              <w:t>Interface</w:t>
            </w:r>
          </w:p>
        </w:tc>
        <w:tc>
          <w:tcPr>
            <w:tcW w:type="dxa" w:w="5112"/>
          </w:tcPr>
          <w:p>
            <w:pPr>
              <w:spacing w:after="20"/>
            </w:pPr>
            <w:r>
              <w:rPr>
                <w:sz w:val="15"/>
              </w:rPr>
              <w:t>Approved API, scheduler, SSH/gateway, SDK or manual process; supported operations and version</w:t>
            </w:r>
          </w:p>
        </w:tc>
      </w:tr>
      <w:tr>
        <w:tc>
          <w:tcPr>
            <w:tcW w:type="dxa" w:w="5112"/>
          </w:tcPr>
          <w:p>
            <w:pPr>
              <w:spacing w:after="20"/>
            </w:pPr>
            <w:r>
              <w:rPr>
                <w:sz w:val="15"/>
              </w:rPr>
              <w:t>Commercial</w:t>
            </w:r>
          </w:p>
        </w:tc>
        <w:tc>
          <w:tcPr>
            <w:tcW w:type="dxa" w:w="5112"/>
          </w:tcPr>
          <w:p>
            <w:pPr>
              <w:spacing w:after="20"/>
            </w:pPr>
            <w:r>
              <w:rPr>
                <w:sz w:val="15"/>
              </w:rPr>
              <w:t>Usage unit, price source, reservation policy, minimums, pass-through costs and spend limit</w:t>
            </w:r>
          </w:p>
        </w:tc>
      </w:tr>
      <w:tr>
        <w:tc>
          <w:tcPr>
            <w:tcW w:type="dxa" w:w="5112"/>
          </w:tcPr>
          <w:p>
            <w:pPr>
              <w:spacing w:after="20"/>
            </w:pPr>
            <w:r>
              <w:rPr>
                <w:sz w:val="15"/>
              </w:rPr>
              <w:t>Evidence/state</w:t>
            </w:r>
          </w:p>
        </w:tc>
        <w:tc>
          <w:tcPr>
            <w:tcW w:type="dxa" w:w="5112"/>
          </w:tcPr>
          <w:p>
            <w:pPr>
              <w:spacing w:after="20"/>
            </w:pPr>
            <w:r>
              <w:rPr>
                <w:sz w:val="15"/>
              </w:rPr>
              <w:t>Source, timestamp, validation, lifecycle state, availability confidence and evidence references</w:t>
            </w:r>
          </w:p>
        </w:tc>
      </w:tr>
    </w:tbl>
    <w:p/>
    <w:p>
      <w:pPr>
        <w:pStyle w:val="Heading2"/>
      </w:pPr>
      <w:r>
        <w:t>Stage 4 — Virtualize and model dependencies</w:t>
      </w:r>
    </w:p>
    <w:p>
      <w:r>
        <w:t>Create a logical representation that references the external resource rather than duplicating it. Model topology, capabilities, interfaces, dependencies, constraints, ownership and evidence. Example: Sydney Facility → HPC Cluster → Compute Node → GPU → Supported Execution Interface. A remote QPU or quantum communication testbed remains a separately identified resource.</w:t>
      </w:r>
    </w:p>
    <w:p>
      <w:pPr>
        <w:pStyle w:val="Heading2"/>
      </w:pPr>
      <w:r>
        <w:t>Stage 5 — Validate and activate</w:t>
      </w:r>
    </w:p>
    <w:p>
      <w:pPr>
        <w:pStyle w:val="ListBullet"/>
      </w:pPr>
      <w:r>
        <w:t>Compare the virtual model with provider-supplied specifications or approved discovery output.</w:t>
      </w:r>
    </w:p>
    <w:p>
      <w:pPr>
        <w:pStyle w:val="ListBullet"/>
      </w:pPr>
      <w:r>
        <w:t>Begin with authorized read/discovery operations; execute a bounded non-sensitive test only after approval.</w:t>
      </w:r>
    </w:p>
    <w:p>
      <w:pPr>
        <w:pStyle w:val="ListBullet"/>
      </w:pPr>
      <w:r>
        <w:t>Record test results, adapter/interface version, limitations and review date.</w:t>
      </w:r>
    </w:p>
    <w:p>
      <w:pPr>
        <w:pStyle w:val="ListBullet"/>
      </w:pPr>
      <w:r>
        <w:t>Activate only when identity, authorization, capability and boundary checks pass.</w:t>
      </w:r>
    </w:p>
    <w:p>
      <w:pPr>
        <w:pStyle w:val="Heading1"/>
      </w:pPr>
      <w:r>
        <w:t>4. Lifecycle and availability states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State</w:t>
            </w:r>
          </w:p>
        </w:tc>
        <w:tc>
          <w:tcPr>
            <w:tcW w:type="dxa" w:w="5112"/>
          </w:tcPr>
          <w:p>
            <w:r>
              <w:rPr>
                <w:b/>
                <w:sz w:val="16"/>
              </w:rPr>
              <w:t>Meaning</w:t>
            </w:r>
          </w:p>
        </w:tc>
      </w:tr>
      <w:tr>
        <w:tc>
          <w:tcPr>
            <w:tcW w:type="dxa" w:w="5112"/>
          </w:tcPr>
          <w:p>
            <w:pPr>
              <w:spacing w:after="20"/>
            </w:pPr>
            <w:r>
              <w:rPr>
                <w:sz w:val="15"/>
              </w:rPr>
              <w:t>Discovered</w:t>
            </w:r>
          </w:p>
        </w:tc>
        <w:tc>
          <w:tcPr>
            <w:tcW w:type="dxa" w:w="5112"/>
          </w:tcPr>
          <w:p>
            <w:pPr>
              <w:spacing w:after="20"/>
            </w:pPr>
            <w:r>
              <w:rPr>
                <w:sz w:val="15"/>
              </w:rPr>
              <w:t>Found by approved means; not trusted or registered</w:t>
            </w:r>
          </w:p>
        </w:tc>
      </w:tr>
      <w:tr>
        <w:tc>
          <w:tcPr>
            <w:tcW w:type="dxa" w:w="5112"/>
          </w:tcPr>
          <w:p>
            <w:pPr>
              <w:spacing w:after="20"/>
            </w:pPr>
            <w:r>
              <w:rPr>
                <w:sz w:val="15"/>
              </w:rPr>
              <w:t>Registered</w:t>
            </w:r>
          </w:p>
        </w:tc>
        <w:tc>
          <w:tcPr>
            <w:tcW w:type="dxa" w:w="5112"/>
          </w:tcPr>
          <w:p>
            <w:pPr>
              <w:spacing w:after="20"/>
            </w:pPr>
            <w:r>
              <w:rPr>
                <w:sz w:val="15"/>
              </w:rPr>
              <w:t>Identity and basic metadata recorded</w:t>
            </w:r>
          </w:p>
        </w:tc>
      </w:tr>
      <w:tr>
        <w:tc>
          <w:tcPr>
            <w:tcW w:type="dxa" w:w="5112"/>
          </w:tcPr>
          <w:p>
            <w:pPr>
              <w:spacing w:after="20"/>
            </w:pPr>
            <w:r>
              <w:rPr>
                <w:sz w:val="15"/>
              </w:rPr>
              <w:t>Authorization Pending</w:t>
            </w:r>
          </w:p>
        </w:tc>
        <w:tc>
          <w:tcPr>
            <w:tcW w:type="dxa" w:w="5112"/>
          </w:tcPr>
          <w:p>
            <w:pPr>
              <w:spacing w:after="20"/>
            </w:pPr>
            <w:r>
              <w:rPr>
                <w:sz w:val="15"/>
              </w:rPr>
              <w:t>Required access or approval not confirmed</w:t>
            </w:r>
          </w:p>
        </w:tc>
      </w:tr>
      <w:tr>
        <w:tc>
          <w:tcPr>
            <w:tcW w:type="dxa" w:w="5112"/>
          </w:tcPr>
          <w:p>
            <w:pPr>
              <w:spacing w:after="20"/>
            </w:pPr>
            <w:r>
              <w:rPr>
                <w:sz w:val="15"/>
              </w:rPr>
              <w:t>Virtualization Pending</w:t>
            </w:r>
          </w:p>
        </w:tc>
        <w:tc>
          <w:tcPr>
            <w:tcW w:type="dxa" w:w="5112"/>
          </w:tcPr>
          <w:p>
            <w:pPr>
              <w:spacing w:after="20"/>
            </w:pPr>
            <w:r>
              <w:rPr>
                <w:sz w:val="15"/>
              </w:rPr>
              <w:t>Virtual model incomplete</w:t>
            </w:r>
          </w:p>
        </w:tc>
      </w:tr>
      <w:tr>
        <w:tc>
          <w:tcPr>
            <w:tcW w:type="dxa" w:w="5112"/>
          </w:tcPr>
          <w:p>
            <w:pPr>
              <w:spacing w:after="20"/>
            </w:pPr>
            <w:r>
              <w:rPr>
                <w:sz w:val="15"/>
              </w:rPr>
              <w:t>Validation Pending</w:t>
            </w:r>
          </w:p>
        </w:tc>
        <w:tc>
          <w:tcPr>
            <w:tcW w:type="dxa" w:w="5112"/>
          </w:tcPr>
          <w:p>
            <w:pPr>
              <w:spacing w:after="20"/>
            </w:pPr>
            <w:r>
              <w:rPr>
                <w:sz w:val="15"/>
              </w:rPr>
              <w:t>Model/interface has not passed checks</w:t>
            </w:r>
          </w:p>
        </w:tc>
      </w:tr>
      <w:tr>
        <w:tc>
          <w:tcPr>
            <w:tcW w:type="dxa" w:w="5112"/>
          </w:tcPr>
          <w:p>
            <w:pPr>
              <w:spacing w:after="20"/>
            </w:pPr>
            <w:r>
              <w:rPr>
                <w:sz w:val="15"/>
              </w:rPr>
              <w:t>Active / Available</w:t>
            </w:r>
          </w:p>
        </w:tc>
        <w:tc>
          <w:tcPr>
            <w:tcW w:type="dxa" w:w="5112"/>
          </w:tcPr>
          <w:p>
            <w:pPr>
              <w:spacing w:after="20"/>
            </w:pPr>
            <w:r>
              <w:rPr>
                <w:sz w:val="15"/>
              </w:rPr>
              <w:t>Validated and currently eligible for allocation</w:t>
            </w:r>
          </w:p>
        </w:tc>
      </w:tr>
      <w:tr>
        <w:tc>
          <w:tcPr>
            <w:tcW w:type="dxa" w:w="5112"/>
          </w:tcPr>
          <w:p>
            <w:pPr>
              <w:spacing w:after="20"/>
            </w:pPr>
            <w:r>
              <w:rPr>
                <w:sz w:val="15"/>
              </w:rPr>
              <w:t>Active / Constrained</w:t>
            </w:r>
          </w:p>
        </w:tc>
        <w:tc>
          <w:tcPr>
            <w:tcW w:type="dxa" w:w="5112"/>
          </w:tcPr>
          <w:p>
            <w:pPr>
              <w:spacing w:after="20"/>
            </w:pPr>
            <w:r>
              <w:rPr>
                <w:sz w:val="15"/>
              </w:rPr>
              <w:t>Validated but partially available or limited</w:t>
            </w:r>
          </w:p>
        </w:tc>
      </w:tr>
      <w:tr>
        <w:tc>
          <w:tcPr>
            <w:tcW w:type="dxa" w:w="5112"/>
          </w:tcPr>
          <w:p>
            <w:pPr>
              <w:spacing w:after="20"/>
            </w:pPr>
            <w:r>
              <w:rPr>
                <w:sz w:val="15"/>
              </w:rPr>
              <w:t>Allocated / Executing</w:t>
            </w:r>
          </w:p>
        </w:tc>
        <w:tc>
          <w:tcPr>
            <w:tcW w:type="dxa" w:w="5112"/>
          </w:tcPr>
          <w:p>
            <w:pPr>
              <w:spacing w:after="20"/>
            </w:pPr>
            <w:r>
              <w:rPr>
                <w:sz w:val="15"/>
              </w:rPr>
              <w:t>Approved resources reserved / workload running</w:t>
            </w:r>
          </w:p>
        </w:tc>
      </w:tr>
      <w:tr>
        <w:tc>
          <w:tcPr>
            <w:tcW w:type="dxa" w:w="5112"/>
          </w:tcPr>
          <w:p>
            <w:pPr>
              <w:spacing w:after="20"/>
            </w:pPr>
            <w:r>
              <w:rPr>
                <w:sz w:val="15"/>
              </w:rPr>
              <w:t>Unavailable / Maintenance</w:t>
            </w:r>
          </w:p>
        </w:tc>
        <w:tc>
          <w:tcPr>
            <w:tcW w:type="dxa" w:w="5112"/>
          </w:tcPr>
          <w:p>
            <w:pPr>
              <w:spacing w:after="20"/>
            </w:pPr>
            <w:r>
              <w:rPr>
                <w:sz w:val="15"/>
              </w:rPr>
              <w:t>Not eligible for new allocation</w:t>
            </w:r>
          </w:p>
        </w:tc>
      </w:tr>
      <w:tr>
        <w:tc>
          <w:tcPr>
            <w:tcW w:type="dxa" w:w="5112"/>
          </w:tcPr>
          <w:p>
            <w:pPr>
              <w:spacing w:after="20"/>
            </w:pPr>
            <w:r>
              <w:rPr>
                <w:sz w:val="15"/>
              </w:rPr>
              <w:t>Revalidation Required</w:t>
            </w:r>
          </w:p>
        </w:tc>
        <w:tc>
          <w:tcPr>
            <w:tcW w:type="dxa" w:w="5112"/>
          </w:tcPr>
          <w:p>
            <w:pPr>
              <w:spacing w:after="20"/>
            </w:pPr>
            <w:r>
              <w:rPr>
                <w:sz w:val="15"/>
              </w:rPr>
              <w:t>Credentials, interface, specs or provider state changed/stale</w:t>
            </w:r>
          </w:p>
        </w:tc>
      </w:tr>
      <w:tr>
        <w:tc>
          <w:tcPr>
            <w:tcW w:type="dxa" w:w="5112"/>
          </w:tcPr>
          <w:p>
            <w:pPr>
              <w:spacing w:after="20"/>
            </w:pPr>
            <w:r>
              <w:rPr>
                <w:sz w:val="15"/>
              </w:rPr>
              <w:t>Suspended / Revoked</w:t>
            </w:r>
          </w:p>
        </w:tc>
        <w:tc>
          <w:tcPr>
            <w:tcW w:type="dxa" w:w="5112"/>
          </w:tcPr>
          <w:p>
            <w:pPr>
              <w:spacing w:after="20"/>
            </w:pPr>
            <w:r>
              <w:rPr>
                <w:sz w:val="15"/>
              </w:rPr>
              <w:t>Access withdrawn or risk blocks use</w:t>
            </w:r>
          </w:p>
        </w:tc>
      </w:tr>
      <w:tr>
        <w:tc>
          <w:tcPr>
            <w:tcW w:type="dxa" w:w="5112"/>
          </w:tcPr>
          <w:p>
            <w:pPr>
              <w:spacing w:after="20"/>
            </w:pPr>
            <w:r>
              <w:rPr>
                <w:sz w:val="15"/>
              </w:rPr>
              <w:t>Retired</w:t>
            </w:r>
          </w:p>
        </w:tc>
        <w:tc>
          <w:tcPr>
            <w:tcW w:type="dxa" w:w="5112"/>
          </w:tcPr>
          <w:p>
            <w:pPr>
              <w:spacing w:after="20"/>
            </w:pPr>
            <w:r>
              <w:rPr>
                <w:sz w:val="15"/>
              </w:rPr>
              <w:t>No longer allocatable; retain history per policy</w:t>
            </w:r>
          </w:p>
        </w:tc>
      </w:tr>
    </w:tbl>
    <w:p/>
    <w:p>
      <w:r>
        <w:t>Availability must be timestamped and labelled provider-confirmed, measured, estimated, stale or unknown. Registration may persist while availability changes.</w:t>
      </w:r>
    </w:p>
    <w:p>
      <w:pPr>
        <w:pStyle w:val="Heading1"/>
      </w:pPr>
      <w:r>
        <w:t>5. Data-local execution and confidentiality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Data class</w:t>
            </w:r>
          </w:p>
        </w:tc>
        <w:tc>
          <w:tcPr>
            <w:tcW w:type="dxa" w:w="5112"/>
          </w:tcPr>
          <w:p>
            <w:r>
              <w:rPr>
                <w:b/>
                <w:sz w:val="16"/>
              </w:rPr>
              <w:t>Default handling</w:t>
            </w:r>
          </w:p>
        </w:tc>
      </w:tr>
      <w:tr>
        <w:tc>
          <w:tcPr>
            <w:tcW w:type="dxa" w:w="5112"/>
          </w:tcPr>
          <w:p>
            <w:pPr>
              <w:spacing w:after="20"/>
            </w:pPr>
            <w:r>
              <w:rPr>
                <w:sz w:val="15"/>
              </w:rPr>
              <w:t>Client confidential datasets</w:t>
            </w:r>
          </w:p>
        </w:tc>
        <w:tc>
          <w:tcPr>
            <w:tcW w:type="dxa" w:w="5112"/>
          </w:tcPr>
          <w:p>
            <w:pPr>
              <w:spacing w:after="20"/>
            </w:pPr>
            <w:r>
              <w:rPr>
                <w:sz w:val="15"/>
              </w:rPr>
              <w:t>Remain in client environment; process only within authorized boundaries</w:t>
            </w:r>
          </w:p>
        </w:tc>
      </w:tr>
      <w:tr>
        <w:tc>
          <w:tcPr>
            <w:tcW w:type="dxa" w:w="5112"/>
          </w:tcPr>
          <w:p>
            <w:pPr>
              <w:spacing w:after="20"/>
            </w:pPr>
            <w:r>
              <w:rPr>
                <w:sz w:val="15"/>
              </w:rPr>
              <w:t>QAI operational logs</w:t>
            </w:r>
          </w:p>
        </w:tc>
        <w:tc>
          <w:tcPr>
            <w:tcW w:type="dxa" w:w="5112"/>
          </w:tcPr>
          <w:p>
            <w:pPr>
              <w:spacing w:after="20"/>
            </w:pPr>
            <w:r>
              <w:rPr>
                <w:sz w:val="15"/>
              </w:rPr>
              <w:t>Approved location; minimize/redact; restricted environments may require all logs to stay client-side</w:t>
            </w:r>
          </w:p>
        </w:tc>
      </w:tr>
      <w:tr>
        <w:tc>
          <w:tcPr>
            <w:tcW w:type="dxa" w:w="5112"/>
          </w:tcPr>
          <w:p>
            <w:pPr>
              <w:spacing w:after="20"/>
            </w:pPr>
            <w:r>
              <w:rPr>
                <w:sz w:val="15"/>
              </w:rPr>
              <w:t>Approved results</w:t>
            </w:r>
          </w:p>
        </w:tc>
        <w:tc>
          <w:tcPr>
            <w:tcW w:type="dxa" w:w="5112"/>
          </w:tcPr>
          <w:p>
            <w:pPr>
              <w:spacing w:after="20"/>
            </w:pPr>
            <w:r>
              <w:rPr>
                <w:sz w:val="15"/>
              </w:rPr>
              <w:t>Export only to authorized destinations under classification and retention rules</w:t>
            </w:r>
          </w:p>
        </w:tc>
      </w:tr>
      <w:tr>
        <w:tc>
          <w:tcPr>
            <w:tcW w:type="dxa" w:w="5112"/>
          </w:tcPr>
          <w:p>
            <w:pPr>
              <w:spacing w:after="20"/>
            </w:pPr>
            <w:r>
              <w:rPr>
                <w:sz w:val="15"/>
              </w:rPr>
              <w:t>Credentials/tokens</w:t>
            </w:r>
          </w:p>
        </w:tc>
        <w:tc>
          <w:tcPr>
            <w:tcW w:type="dxa" w:w="5112"/>
          </w:tcPr>
          <w:p>
            <w:pPr>
              <w:spacing w:after="20"/>
            </w:pPr>
            <w:r>
              <w:rPr>
                <w:sz w:val="15"/>
              </w:rPr>
              <w:t>Approved identity/secrets system; never asset metadata or logs</w:t>
            </w:r>
          </w:p>
        </w:tc>
      </w:tr>
      <w:tr>
        <w:tc>
          <w:tcPr>
            <w:tcW w:type="dxa" w:w="5112"/>
          </w:tcPr>
          <w:p>
            <w:pPr>
              <w:spacing w:after="20"/>
            </w:pPr>
            <w:r>
              <w:rPr>
                <w:sz w:val="15"/>
              </w:rPr>
              <w:t>Audit/evidence</w:t>
            </w:r>
          </w:p>
        </w:tc>
        <w:tc>
          <w:tcPr>
            <w:tcW w:type="dxa" w:w="5112"/>
          </w:tcPr>
          <w:p>
            <w:pPr>
              <w:spacing w:after="20"/>
            </w:pPr>
            <w:r>
              <w:rPr>
                <w:sz w:val="15"/>
              </w:rPr>
              <w:t>Minimum permitted evidence with provenance, no confidential payload unless explicitly authorized</w:t>
            </w:r>
          </w:p>
        </w:tc>
      </w:tr>
    </w:tbl>
    <w:p/>
    <w:p>
      <w:pPr>
        <w:pStyle w:val="ListBullet"/>
      </w:pPr>
      <w:r>
        <w:t>Use an explicit export policy: what may leave, in what form, to which destination, with whose approval and for how long.</w:t>
      </w:r>
    </w:p>
    <w:p>
      <w:pPr>
        <w:pStyle w:val="ListBullet"/>
      </w:pPr>
      <w:r>
        <w:t>Logs can expose identities, paths, filenames, dataset labels, configuration or parameters; classify, minimize and redact.</w:t>
      </w:r>
    </w:p>
    <w:p>
      <w:pPr>
        <w:pStyle w:val="ListBullet"/>
      </w:pPr>
      <w:r>
        <w:t>Government work requires agency authorization and approved connectivity/data handling.</w:t>
      </w:r>
    </w:p>
    <w:p>
      <w:pPr>
        <w:pStyle w:val="ListBullet"/>
      </w:pPr>
      <w:r>
        <w:t>Do not assume agent installation, inbound access or automated discovery is permitted.</w:t>
      </w:r>
    </w:p>
    <w:p>
      <w:pPr>
        <w:pStyle w:val="Heading1"/>
      </w:pPr>
      <w:r>
        <w:t>6. Allocation using power and compute capacity</w:t>
      </w:r>
    </w:p>
    <w:p>
      <w:r>
        <w:t>Electrical power and computational capacity are separate constraints. A feasible allocation must satisfy both plus authorization, compatibility, network/storage dependencies, cooling/environmental constraints, quotas and cost limits.</w:t>
      </w:r>
    </w:p>
    <w:p>
      <w:pPr>
        <w:pStyle w:val="Heading2"/>
      </w:pPr>
      <w:r>
        <w:t>6.1 Electrical headroom</w:t>
      </w:r>
    </w:p>
    <w:p>
      <w:pPr>
        <w:jc w:val="center"/>
      </w:pPr>
      <w:r>
        <w:rPr>
          <w:b/>
        </w:rPr>
        <w:t>Allocatable Power = Permitted Power − Current Load − Required Reserve</w:t>
      </w:r>
    </w:p>
    <w:p>
      <w:r>
        <w:t>Illustrative example only: 100 kW permitted − 65 kW current load − 15 kW required reserve = 20 kW indicative headroom. The facility operator defines limits and reserve. This is not a measurement from a Sydney facility, and headroom alone does not make every workload feasible.</w:t>
      </w:r>
    </w:p>
    <w:p>
      <w:pPr>
        <w:pStyle w:val="Heading2"/>
      </w:pPr>
      <w:r>
        <w:t>6.2 Other constraints and measures</w:t>
      </w:r>
    </w:p>
    <w:p>
      <w:pPr>
        <w:pStyle w:val="ListBullet"/>
      </w:pPr>
      <w:r>
        <w:t>Compute: CPU cores, GPU devices/memory, RAM, storage/throughput, network bandwidth/latency, scheduler quotas and execution windows.</w:t>
      </w:r>
    </w:p>
    <w:p>
      <w:pPr>
        <w:pStyle w:val="ListBullet"/>
      </w:pPr>
      <w:r>
        <w:t>Facility: reservations, maintenance, cooling limits and equipment-specific power caps.</w:t>
      </w:r>
    </w:p>
    <w:p>
      <w:pPr>
        <w:pStyle w:val="ListBullet"/>
      </w:pPr>
      <w:r>
        <w:t>QPU: supported modality, queue/booking model, job limits, SDK/API compatibility and usage terms.</w:t>
      </w:r>
    </w:p>
    <w:p>
      <w:pPr>
        <w:pStyle w:val="ListBullet"/>
      </w:pPr>
      <w:r>
        <w:t>Quantum communication: supported endpoints, optical/fibre topology, experiments, interfaces and testbed access.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Measure</w:t>
            </w:r>
          </w:p>
        </w:tc>
        <w:tc>
          <w:tcPr>
            <w:tcW w:type="dxa" w:w="5112"/>
          </w:tcPr>
          <w:p>
            <w:r>
              <w:rPr>
                <w:b/>
                <w:sz w:val="16"/>
              </w:rPr>
              <w:t>Meaning</w:t>
            </w:r>
          </w:p>
        </w:tc>
      </w:tr>
      <w:tr>
        <w:tc>
          <w:tcPr>
            <w:tcW w:type="dxa" w:w="5112"/>
          </w:tcPr>
          <w:p>
            <w:pPr>
              <w:spacing w:after="20"/>
            </w:pPr>
            <w:r>
              <w:rPr>
                <w:sz w:val="15"/>
              </w:rPr>
              <w:t>Power (kW)</w:t>
            </w:r>
          </w:p>
        </w:tc>
        <w:tc>
          <w:tcPr>
            <w:tcW w:type="dxa" w:w="5112"/>
          </w:tcPr>
          <w:p>
            <w:pPr>
              <w:spacing w:after="20"/>
            </w:pPr>
            <w:r>
              <w:rPr>
                <w:sz w:val="15"/>
              </w:rPr>
              <w:t>Instantaneous electrical demand</w:t>
            </w:r>
          </w:p>
        </w:tc>
      </w:tr>
      <w:tr>
        <w:tc>
          <w:tcPr>
            <w:tcW w:type="dxa" w:w="5112"/>
          </w:tcPr>
          <w:p>
            <w:pPr>
              <w:spacing w:after="20"/>
            </w:pPr>
            <w:r>
              <w:rPr>
                <w:sz w:val="15"/>
              </w:rPr>
              <w:t>Energy (kWh)</w:t>
            </w:r>
          </w:p>
        </w:tc>
        <w:tc>
          <w:tcPr>
            <w:tcW w:type="dxa" w:w="5112"/>
          </w:tcPr>
          <w:p>
            <w:pPr>
              <w:spacing w:after="20"/>
            </w:pPr>
            <w:r>
              <w:rPr>
                <w:sz w:val="15"/>
              </w:rPr>
              <w:t>Electricity consumed over time</w:t>
            </w:r>
          </w:p>
        </w:tc>
      </w:tr>
      <w:tr>
        <w:tc>
          <w:tcPr>
            <w:tcW w:type="dxa" w:w="5112"/>
          </w:tcPr>
          <w:p>
            <w:pPr>
              <w:spacing w:after="20"/>
            </w:pPr>
            <w:r>
              <w:rPr>
                <w:sz w:val="15"/>
              </w:rPr>
              <w:t>Compute allocation</w:t>
            </w:r>
          </w:p>
        </w:tc>
        <w:tc>
          <w:tcPr>
            <w:tcW w:type="dxa" w:w="5112"/>
          </w:tcPr>
          <w:p>
            <w:pPr>
              <w:spacing w:after="20"/>
            </w:pPr>
            <w:r>
              <w:rPr>
                <w:sz w:val="15"/>
              </w:rPr>
              <w:t>Resources reserved/assigned</w:t>
            </w:r>
          </w:p>
        </w:tc>
      </w:tr>
      <w:tr>
        <w:tc>
          <w:tcPr>
            <w:tcW w:type="dxa" w:w="5112"/>
          </w:tcPr>
          <w:p>
            <w:pPr>
              <w:spacing w:after="20"/>
            </w:pPr>
            <w:r>
              <w:rPr>
                <w:sz w:val="15"/>
              </w:rPr>
              <w:t>Compute consumption</w:t>
            </w:r>
          </w:p>
        </w:tc>
        <w:tc>
          <w:tcPr>
            <w:tcW w:type="dxa" w:w="5112"/>
          </w:tcPr>
          <w:p>
            <w:pPr>
              <w:spacing w:after="20"/>
            </w:pPr>
            <w:r>
              <w:rPr>
                <w:sz w:val="15"/>
              </w:rPr>
              <w:t>Resources actually used</w:t>
            </w:r>
          </w:p>
        </w:tc>
      </w:tr>
      <w:tr>
        <w:tc>
          <w:tcPr>
            <w:tcW w:type="dxa" w:w="5112"/>
          </w:tcPr>
          <w:p>
            <w:pPr>
              <w:spacing w:after="20"/>
            </w:pPr>
            <w:r>
              <w:rPr>
                <w:sz w:val="15"/>
              </w:rPr>
              <w:t>Billable usage</w:t>
            </w:r>
          </w:p>
        </w:tc>
        <w:tc>
          <w:tcPr>
            <w:tcW w:type="dxa" w:w="5112"/>
          </w:tcPr>
          <w:p>
            <w:pPr>
              <w:spacing w:after="20"/>
            </w:pPr>
            <w:r>
              <w:rPr>
                <w:sz w:val="15"/>
              </w:rPr>
              <w:t>Usage unit in the provider agreement</w:t>
            </w:r>
          </w:p>
        </w:tc>
      </w:tr>
    </w:tbl>
    <w:p/>
    <w:p>
      <w:r>
        <w:t>Releasing a logical allocation does not automatically switch off physical servers or yield proportional energy/water savings. Sustainability claims require measurements and a defined baseline.</w:t>
      </w:r>
    </w:p>
    <w:p>
      <w:pPr>
        <w:pStyle w:val="Heading1"/>
      </w:pPr>
      <w:r>
        <w:t>7. Logical planes and authority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Plane</w:t>
            </w:r>
          </w:p>
        </w:tc>
        <w:tc>
          <w:tcPr>
            <w:tcW w:type="dxa" w:w="3408"/>
          </w:tcPr>
          <w:p>
            <w:r>
              <w:rPr>
                <w:b/>
                <w:sz w:val="16"/>
              </w:rPr>
              <w:t>Responsibilities</w:t>
            </w:r>
          </w:p>
        </w:tc>
        <w:tc>
          <w:tcPr>
            <w:tcW w:type="dxa" w:w="3408"/>
          </w:tcPr>
          <w:p>
            <w:r>
              <w:rPr>
                <w:b/>
                <w:sz w:val="16"/>
              </w:rPr>
              <w:t>Boundary</w:t>
            </w:r>
          </w:p>
        </w:tc>
      </w:tr>
      <w:tr>
        <w:tc>
          <w:tcPr>
            <w:tcW w:type="dxa" w:w="3408"/>
          </w:tcPr>
          <w:p>
            <w:pPr>
              <w:spacing w:after="20"/>
            </w:pPr>
            <w:r>
              <w:rPr>
                <w:sz w:val="15"/>
              </w:rPr>
              <w:t>QAI Control Plane</w:t>
            </w:r>
          </w:p>
        </w:tc>
        <w:tc>
          <w:tcPr>
            <w:tcW w:type="dxa" w:w="3408"/>
          </w:tcPr>
          <w:p>
            <w:pPr>
              <w:spacing w:after="20"/>
            </w:pPr>
            <w:r>
              <w:rPr>
                <w:sz w:val="15"/>
              </w:rPr>
              <w:t>Registry, discovery, compatibility, planning, approval, orchestration and policy</w:t>
            </w:r>
          </w:p>
        </w:tc>
        <w:tc>
          <w:tcPr>
            <w:tcW w:type="dxa" w:w="3408"/>
          </w:tcPr>
          <w:p>
            <w:pPr>
              <w:spacing w:after="20"/>
            </w:pPr>
            <w:r>
              <w:rPr>
                <w:sz w:val="15"/>
              </w:rPr>
              <w:t>Cannot override client/provider authority</w:t>
            </w:r>
          </w:p>
        </w:tc>
      </w:tr>
      <w:tr>
        <w:tc>
          <w:tcPr>
            <w:tcW w:type="dxa" w:w="3408"/>
          </w:tcPr>
          <w:p>
            <w:pPr>
              <w:spacing w:after="20"/>
            </w:pPr>
            <w:r>
              <w:rPr>
                <w:sz w:val="15"/>
              </w:rPr>
              <w:t>Client Execution Plane</w:t>
            </w:r>
          </w:p>
        </w:tc>
        <w:tc>
          <w:tcPr>
            <w:tcW w:type="dxa" w:w="3408"/>
          </w:tcPr>
          <w:p>
            <w:pPr>
              <w:spacing w:after="20"/>
            </w:pPr>
            <w:r>
              <w:rPr>
                <w:sz w:val="15"/>
              </w:rPr>
              <w:t>Local datasets, compute, native scheduler, physical equipment and local policy</w:t>
            </w:r>
          </w:p>
        </w:tc>
        <w:tc>
          <w:tcPr>
            <w:tcW w:type="dxa" w:w="3408"/>
          </w:tcPr>
          <w:p>
            <w:pPr>
              <w:spacing w:after="20"/>
            </w:pPr>
            <w:r>
              <w:rPr>
                <w:sz w:val="15"/>
              </w:rPr>
              <w:t>Remains client/provider controlled</w:t>
            </w:r>
          </w:p>
        </w:tc>
      </w:tr>
      <w:tr>
        <w:tc>
          <w:tcPr>
            <w:tcW w:type="dxa" w:w="3408"/>
          </w:tcPr>
          <w:p>
            <w:pPr>
              <w:spacing w:after="20"/>
            </w:pPr>
            <w:r>
              <w:rPr>
                <w:sz w:val="15"/>
              </w:rPr>
              <w:t>Evidence Plane</w:t>
            </w:r>
          </w:p>
        </w:tc>
        <w:tc>
          <w:tcPr>
            <w:tcW w:type="dxa" w:w="3408"/>
          </w:tcPr>
          <w:p>
            <w:pPr>
              <w:spacing w:after="20"/>
            </w:pPr>
            <w:r>
              <w:rPr>
                <w:sz w:val="15"/>
              </w:rPr>
              <w:t>Permitted status, usage, results, validation and audit evidence</w:t>
            </w:r>
          </w:p>
        </w:tc>
        <w:tc>
          <w:tcPr>
            <w:tcW w:type="dxa" w:w="3408"/>
          </w:tcPr>
          <w:p>
            <w:pPr>
              <w:spacing w:after="20"/>
            </w:pPr>
            <w:r>
              <w:rPr>
                <w:sz w:val="15"/>
              </w:rPr>
              <w:t>Only approved information crosses boundary</w:t>
            </w:r>
          </w:p>
        </w:tc>
      </w:tr>
    </w:tbl>
    <w:p/>
    <w:p>
      <w:r>
        <w:t>These are logical separations, not necessarily separate physical systems. Provider-native schedulers, access controls and operating procedures remain authoritative.</w:t>
      </w:r>
    </w:p>
    <w:p>
      <w:pPr>
        <w:pStyle w:val="Heading1"/>
      </w:pPr>
      <w:r>
        <w:t>8. Quantum capability checks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Capability</w:t>
            </w:r>
          </w:p>
        </w:tc>
        <w:tc>
          <w:tcPr>
            <w:tcW w:type="dxa" w:w="3408"/>
          </w:tcPr>
          <w:p>
            <w:r>
              <w:rPr>
                <w:b/>
                <w:sz w:val="16"/>
              </w:rPr>
              <w:t>Evidence required</w:t>
            </w:r>
          </w:p>
        </w:tc>
        <w:tc>
          <w:tcPr>
            <w:tcW w:type="dxa" w:w="3408"/>
          </w:tcPr>
          <w:p>
            <w:r>
              <w:rPr>
                <w:b/>
                <w:sz w:val="16"/>
              </w:rPr>
              <w:t>Not sufficient by itself</w:t>
            </w:r>
          </w:p>
        </w:tc>
      </w:tr>
      <w:tr>
        <w:tc>
          <w:tcPr>
            <w:tcW w:type="dxa" w:w="3408"/>
          </w:tcPr>
          <w:p>
            <w:pPr>
              <w:spacing w:after="20"/>
            </w:pPr>
            <w:r>
              <w:rPr>
                <w:sz w:val="15"/>
              </w:rPr>
              <w:t>Classical HPC</w:t>
            </w:r>
          </w:p>
        </w:tc>
        <w:tc>
          <w:tcPr>
            <w:tcW w:type="dxa" w:w="3408"/>
          </w:tcPr>
          <w:p>
            <w:pPr>
              <w:spacing w:after="20"/>
            </w:pPr>
            <w:r>
              <w:rPr>
                <w:sz w:val="15"/>
              </w:rPr>
              <w:t>CPU/GPU, scheduler, memory, network and storage specifications</w:t>
            </w:r>
          </w:p>
        </w:tc>
        <w:tc>
          <w:tcPr>
            <w:tcW w:type="dxa" w:w="3408"/>
          </w:tcPr>
          <w:p>
            <w:pPr>
              <w:spacing w:after="20"/>
            </w:pPr>
            <w:r>
              <w:rPr>
                <w:sz w:val="15"/>
              </w:rPr>
              <w:t>Facility branding</w:t>
            </w:r>
          </w:p>
        </w:tc>
      </w:tr>
      <w:tr>
        <w:tc>
          <w:tcPr>
            <w:tcW w:type="dxa" w:w="3408"/>
          </w:tcPr>
          <w:p>
            <w:pPr>
              <w:spacing w:after="20"/>
            </w:pPr>
            <w:r>
              <w:rPr>
                <w:sz w:val="15"/>
              </w:rPr>
              <w:t>Quantum simulation</w:t>
            </w:r>
          </w:p>
        </w:tc>
        <w:tc>
          <w:tcPr>
            <w:tcW w:type="dxa" w:w="3408"/>
          </w:tcPr>
          <w:p>
            <w:pPr>
              <w:spacing w:after="20"/>
            </w:pPr>
            <w:r>
              <w:rPr>
                <w:sz w:val="15"/>
              </w:rPr>
              <w:t>Supported runtime/software, resource needs and bounded test</w:t>
            </w:r>
          </w:p>
        </w:tc>
        <w:tc>
          <w:tcPr>
            <w:tcW w:type="dxa" w:w="3408"/>
          </w:tcPr>
          <w:p>
            <w:pPr>
              <w:spacing w:after="20"/>
            </w:pPr>
            <w:r>
              <w:rPr>
                <w:sz w:val="15"/>
              </w:rPr>
              <w:t>GPU presence</w:t>
            </w:r>
          </w:p>
        </w:tc>
      </w:tr>
      <w:tr>
        <w:tc>
          <w:tcPr>
            <w:tcW w:type="dxa" w:w="3408"/>
          </w:tcPr>
          <w:p>
            <w:pPr>
              <w:spacing w:after="20"/>
            </w:pPr>
            <w:r>
              <w:rPr>
                <w:sz w:val="15"/>
              </w:rPr>
              <w:t>Physical QPU</w:t>
            </w:r>
          </w:p>
        </w:tc>
        <w:tc>
          <w:tcPr>
            <w:tcW w:type="dxa" w:w="3408"/>
          </w:tcPr>
          <w:p>
            <w:pPr>
              <w:spacing w:after="20"/>
            </w:pPr>
            <w:r>
              <w:rPr>
                <w:sz w:val="15"/>
              </w:rPr>
              <w:t>Provider agreement, interface, modality, limits and test evidence</w:t>
            </w:r>
          </w:p>
        </w:tc>
        <w:tc>
          <w:tcPr>
            <w:tcW w:type="dxa" w:w="3408"/>
          </w:tcPr>
          <w:p>
            <w:pPr>
              <w:spacing w:after="20"/>
            </w:pPr>
            <w:r>
              <w:rPr>
                <w:sz w:val="15"/>
              </w:rPr>
              <w:t>Simulator or research group name</w:t>
            </w:r>
          </w:p>
        </w:tc>
      </w:tr>
      <w:tr>
        <w:tc>
          <w:tcPr>
            <w:tcW w:type="dxa" w:w="3408"/>
          </w:tcPr>
          <w:p>
            <w:pPr>
              <w:spacing w:after="20"/>
            </w:pPr>
            <w:r>
              <w:rPr>
                <w:sz w:val="15"/>
              </w:rPr>
              <w:t>Quantum control</w:t>
            </w:r>
          </w:p>
        </w:tc>
        <w:tc>
          <w:tcPr>
            <w:tcW w:type="dxa" w:w="3408"/>
          </w:tcPr>
          <w:p>
            <w:pPr>
              <w:spacing w:after="20"/>
            </w:pPr>
            <w:r>
              <w:rPr>
                <w:sz w:val="15"/>
              </w:rPr>
              <w:t>Control electronics, timing, interfaces and authorization</w:t>
            </w:r>
          </w:p>
        </w:tc>
        <w:tc>
          <w:tcPr>
            <w:tcW w:type="dxa" w:w="3408"/>
          </w:tcPr>
          <w:p>
            <w:pPr>
              <w:spacing w:after="20"/>
            </w:pPr>
            <w:r>
              <w:rPr>
                <w:sz w:val="15"/>
              </w:rPr>
              <w:t>General-purpose cluster</w:t>
            </w:r>
          </w:p>
        </w:tc>
      </w:tr>
      <w:tr>
        <w:tc>
          <w:tcPr>
            <w:tcW w:type="dxa" w:w="3408"/>
          </w:tcPr>
          <w:p>
            <w:pPr>
              <w:spacing w:after="20"/>
            </w:pPr>
            <w:r>
              <w:rPr>
                <w:sz w:val="15"/>
              </w:rPr>
              <w:t>Quantum communication/QKD</w:t>
            </w:r>
          </w:p>
        </w:tc>
        <w:tc>
          <w:tcPr>
            <w:tcW w:type="dxa" w:w="3408"/>
          </w:tcPr>
          <w:p>
            <w:pPr>
              <w:spacing w:after="20"/>
            </w:pPr>
            <w:r>
              <w:rPr>
                <w:sz w:val="15"/>
              </w:rPr>
              <w:t>Quantum optical equipment, endpoints, channel/testbed and procedure</w:t>
            </w:r>
          </w:p>
        </w:tc>
        <w:tc>
          <w:tcPr>
            <w:tcW w:type="dxa" w:w="3408"/>
          </w:tcPr>
          <w:p>
            <w:pPr>
              <w:spacing w:after="20"/>
            </w:pPr>
            <w:r>
              <w:rPr>
                <w:sz w:val="15"/>
              </w:rPr>
              <w:t>Ordinary Ethernet/fibre alone</w:t>
            </w:r>
          </w:p>
        </w:tc>
      </w:tr>
      <w:tr>
        <w:tc>
          <w:tcPr>
            <w:tcW w:type="dxa" w:w="3408"/>
          </w:tcPr>
          <w:p>
            <w:pPr>
              <w:spacing w:after="20"/>
            </w:pPr>
            <w:r>
              <w:rPr>
                <w:sz w:val="15"/>
              </w:rPr>
              <w:t>PQC</w:t>
            </w:r>
          </w:p>
        </w:tc>
        <w:tc>
          <w:tcPr>
            <w:tcW w:type="dxa" w:w="3408"/>
          </w:tcPr>
          <w:p>
            <w:pPr>
              <w:spacing w:after="20"/>
            </w:pPr>
            <w:r>
              <w:rPr>
                <w:sz w:val="15"/>
              </w:rPr>
              <w:t>Approved algorithms/libraries, integration and security review</w:t>
            </w:r>
          </w:p>
        </w:tc>
        <w:tc>
          <w:tcPr>
            <w:tcW w:type="dxa" w:w="3408"/>
          </w:tcPr>
          <w:p>
            <w:pPr>
              <w:spacing w:after="20"/>
            </w:pPr>
            <w:r>
              <w:rPr>
                <w:sz w:val="15"/>
              </w:rPr>
              <w:t>Physical QKD link</w:t>
            </w:r>
          </w:p>
        </w:tc>
      </w:tr>
    </w:tbl>
    <w:p/>
    <w:p>
      <w:r>
        <w:t>QKD and post-quantum cryptography (PQC) are distinct. Register each capability only when its access route, supported functions and constraints are verified.</w:t>
      </w:r>
    </w:p>
    <w:p>
      <w:pPr>
        <w:pStyle w:val="Heading1"/>
      </w:pPr>
      <w:r>
        <w:t>9. VS Code development plan</w:t>
      </w:r>
    </w:p>
    <w:p>
      <w:r>
        <w:t>Extend existing CPS, QAI Deployment Operator, QAI Hub, QAI Data Center Blueprint and QAI-DCaaS components. Inspect the real repository tree and schemas before adding files. Paths below are logical placement candidates, not claims that these files already exist.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6"/>
              </w:rPr>
              <w:t>Phase</w:t>
            </w:r>
          </w:p>
        </w:tc>
        <w:tc>
          <w:tcPr>
            <w:tcW w:type="dxa" w:w="2556"/>
          </w:tcPr>
          <w:p>
            <w:r>
              <w:rPr>
                <w:b/>
                <w:sz w:val="16"/>
              </w:rPr>
              <w:t>Work</w:t>
            </w:r>
          </w:p>
        </w:tc>
        <w:tc>
          <w:tcPr>
            <w:tcW w:type="dxa" w:w="2556"/>
          </w:tcPr>
          <w:p>
            <w:r>
              <w:rPr>
                <w:b/>
                <w:sz w:val="16"/>
              </w:rPr>
              <w:t>Placement candidate</w:t>
            </w:r>
          </w:p>
        </w:tc>
        <w:tc>
          <w:tcPr>
            <w:tcW w:type="dxa" w:w="2556"/>
          </w:tcPr>
          <w:p>
            <w:r>
              <w:rPr>
                <w:b/>
                <w:sz w:val="16"/>
              </w:rPr>
              <w:t>Exit criteria</w:t>
            </w:r>
          </w:p>
        </w:tc>
      </w:tr>
      <w:tr>
        <w:tc>
          <w:tcPr>
            <w:tcW w:type="dxa" w:w="2556"/>
          </w:tcPr>
          <w:p>
            <w:pPr>
              <w:spacing w:after="20"/>
            </w:pPr>
            <w:r>
              <w:rPr>
                <w:sz w:val="15"/>
              </w:rPr>
              <w:t>0 — Discovery</w:t>
            </w:r>
          </w:p>
        </w:tc>
        <w:tc>
          <w:tcPr>
            <w:tcW w:type="dxa" w:w="2556"/>
          </w:tcPr>
          <w:p>
            <w:pPr>
              <w:spacing w:after="20"/>
            </w:pPr>
            <w:r>
              <w:rPr>
                <w:sz w:val="15"/>
              </w:rPr>
              <w:t>Inspect models, lifecycle, adapters, tests, assurance/work-package docs; map reuse vs gaps</w:t>
            </w:r>
          </w:p>
        </w:tc>
        <w:tc>
          <w:tcPr>
            <w:tcW w:type="dxa" w:w="2556"/>
          </w:tcPr>
          <w:p>
            <w:pPr>
              <w:spacing w:after="20"/>
            </w:pPr>
            <w:r>
              <w:rPr>
                <w:sz w:val="15"/>
              </w:rPr>
              <w:t>Existing README/architecture notes; repo inventory/change map</w:t>
            </w:r>
          </w:p>
        </w:tc>
        <w:tc>
          <w:tcPr>
            <w:tcW w:type="dxa" w:w="2556"/>
          </w:tcPr>
          <w:p>
            <w:pPr>
              <w:spacing w:after="20"/>
            </w:pPr>
            <w:r>
              <w:rPr>
                <w:sz w:val="15"/>
              </w:rPr>
              <w:t>No duplicate hierarchy; file plan approved</w:t>
            </w:r>
          </w:p>
        </w:tc>
      </w:tr>
      <w:tr>
        <w:tc>
          <w:tcPr>
            <w:tcW w:type="dxa" w:w="2556"/>
          </w:tcPr>
          <w:p>
            <w:pPr>
              <w:spacing w:after="20"/>
            </w:pPr>
            <w:r>
              <w:rPr>
                <w:sz w:val="15"/>
              </w:rPr>
              <w:t>1 — Contract</w:t>
            </w:r>
          </w:p>
        </w:tc>
        <w:tc>
          <w:tcPr>
            <w:tcW w:type="dxa" w:w="2556"/>
          </w:tcPr>
          <w:p>
            <w:pPr>
              <w:spacing w:after="20"/>
            </w:pPr>
            <w:r>
              <w:rPr>
                <w:sz w:val="15"/>
              </w:rPr>
              <w:t>Define provider/facility/asset/capability/interface/dependency/evidence schemas</w:t>
            </w:r>
          </w:p>
        </w:tc>
        <w:tc>
          <w:tcPr>
            <w:tcW w:type="dxa" w:w="2556"/>
          </w:tcPr>
          <w:p>
            <w:pPr>
              <w:spacing w:after="20"/>
            </w:pPr>
            <w:r>
              <w:rPr>
                <w:sz w:val="15"/>
              </w:rPr>
              <w:t>Existing CPS asset model; onboarding design doc</w:t>
            </w:r>
          </w:p>
        </w:tc>
        <w:tc>
          <w:tcPr>
            <w:tcW w:type="dxa" w:w="2556"/>
          </w:tcPr>
          <w:p>
            <w:pPr>
              <w:spacing w:after="20"/>
            </w:pPr>
            <w:r>
              <w:rPr>
                <w:sz w:val="15"/>
              </w:rPr>
              <w:t>Schema tests pass; secrets excluded</w:t>
            </w:r>
          </w:p>
        </w:tc>
      </w:tr>
      <w:tr>
        <w:tc>
          <w:tcPr>
            <w:tcW w:type="dxa" w:w="2556"/>
          </w:tcPr>
          <w:p>
            <w:pPr>
              <w:spacing w:after="20"/>
            </w:pPr>
            <w:r>
              <w:rPr>
                <w:sz w:val="15"/>
              </w:rPr>
              <w:t>2 — Adapter contract</w:t>
            </w:r>
          </w:p>
        </w:tc>
        <w:tc>
          <w:tcPr>
            <w:tcW w:type="dxa" w:w="2556"/>
          </w:tcPr>
          <w:p>
            <w:pPr>
              <w:spacing w:after="20"/>
            </w:pPr>
            <w:r>
              <w:rPr>
                <w:sz w:val="15"/>
              </w:rPr>
              <w:t>Authenticate/authorize, discover, read capability/availability, submit/poll job, retrieve approved result, release</w:t>
            </w:r>
          </w:p>
        </w:tc>
        <w:tc>
          <w:tcPr>
            <w:tcW w:type="dxa" w:w="2556"/>
          </w:tcPr>
          <w:p>
            <w:pPr>
              <w:spacing w:after="20"/>
            </w:pPr>
            <w:r>
              <w:rPr>
                <w:sz w:val="15"/>
              </w:rPr>
              <w:t>Existing Deployment Operator adapter area</w:t>
            </w:r>
          </w:p>
        </w:tc>
        <w:tc>
          <w:tcPr>
            <w:tcW w:type="dxa" w:w="2556"/>
          </w:tcPr>
          <w:p>
            <w:pPr>
              <w:spacing w:after="20"/>
            </w:pPr>
            <w:r>
              <w:rPr>
                <w:sz w:val="15"/>
              </w:rPr>
              <w:t>Mock adapter passes contract tests; unsupported actions fail safely</w:t>
            </w:r>
          </w:p>
        </w:tc>
      </w:tr>
      <w:tr>
        <w:tc>
          <w:tcPr>
            <w:tcW w:type="dxa" w:w="2556"/>
          </w:tcPr>
          <w:p>
            <w:pPr>
              <w:spacing w:after="20"/>
            </w:pPr>
            <w:r>
              <w:rPr>
                <w:sz w:val="15"/>
              </w:rPr>
              <w:t>3 — Virtual assets</w:t>
            </w:r>
          </w:p>
        </w:tc>
        <w:tc>
          <w:tcPr>
            <w:tcW w:type="dxa" w:w="2556"/>
          </w:tcPr>
          <w:p>
            <w:pPr>
              <w:spacing w:after="20"/>
            </w:pPr>
            <w:r>
              <w:rPr>
                <w:sz w:val="15"/>
              </w:rPr>
              <w:t>External assets, hierarchy, dependencies, provenance and lifecycle states</w:t>
            </w:r>
          </w:p>
        </w:tc>
        <w:tc>
          <w:tcPr>
            <w:tcW w:type="dxa" w:w="2556"/>
          </w:tcPr>
          <w:p>
            <w:pPr>
              <w:spacing w:after="20"/>
            </w:pPr>
            <w:r>
              <w:rPr>
                <w:sz w:val="15"/>
              </w:rPr>
              <w:t>Existing CPS virtual asset/dependency models</w:t>
            </w:r>
          </w:p>
        </w:tc>
        <w:tc>
          <w:tcPr>
            <w:tcW w:type="dxa" w:w="2556"/>
          </w:tcPr>
          <w:p>
            <w:pPr>
              <w:spacing w:after="20"/>
            </w:pPr>
            <w:r>
              <w:rPr>
                <w:sz w:val="15"/>
              </w:rPr>
              <w:t>Stable IDs and validation</w:t>
            </w:r>
          </w:p>
        </w:tc>
      </w:tr>
      <w:tr>
        <w:tc>
          <w:tcPr>
            <w:tcW w:type="dxa" w:w="2556"/>
          </w:tcPr>
          <w:p>
            <w:pPr>
              <w:spacing w:after="20"/>
            </w:pPr>
            <w:r>
              <w:rPr>
                <w:sz w:val="15"/>
              </w:rPr>
              <w:t>4 — Power/capacity</w:t>
            </w:r>
          </w:p>
        </w:tc>
        <w:tc>
          <w:tcPr>
            <w:tcW w:type="dxa" w:w="2556"/>
          </w:tcPr>
          <w:p>
            <w:pPr>
              <w:spacing w:after="20"/>
            </w:pPr>
            <w:r>
              <w:rPr>
                <w:sz w:val="15"/>
              </w:rPr>
              <w:t>Separate power budget from compute, quota, reservation, cost and freshness</w:t>
            </w:r>
          </w:p>
        </w:tc>
        <w:tc>
          <w:tcPr>
            <w:tcW w:type="dxa" w:w="2556"/>
          </w:tcPr>
          <w:p>
            <w:pPr>
              <w:spacing w:after="20"/>
            </w:pPr>
            <w:r>
              <w:rPr>
                <w:sz w:val="15"/>
              </w:rPr>
              <w:t>Existing resource/constraint/allocation modules</w:t>
            </w:r>
          </w:p>
        </w:tc>
        <w:tc>
          <w:tcPr>
            <w:tcW w:type="dxa" w:w="2556"/>
          </w:tcPr>
          <w:p>
            <w:pPr>
              <w:spacing w:after="20"/>
            </w:pPr>
            <w:r>
              <w:rPr>
                <w:sz w:val="15"/>
              </w:rPr>
              <w:t>Tests cover stale data, reserves and incompatibility</w:t>
            </w:r>
          </w:p>
        </w:tc>
      </w:tr>
      <w:tr>
        <w:tc>
          <w:tcPr>
            <w:tcW w:type="dxa" w:w="2556"/>
          </w:tcPr>
          <w:p>
            <w:pPr>
              <w:spacing w:after="20"/>
            </w:pPr>
            <w:r>
              <w:rPr>
                <w:sz w:val="15"/>
              </w:rPr>
              <w:t>5 — Plan/approve</w:t>
            </w:r>
          </w:p>
        </w:tc>
        <w:tc>
          <w:tcPr>
            <w:tcW w:type="dxa" w:w="2556"/>
          </w:tcPr>
          <w:p>
            <w:pPr>
              <w:spacing w:after="20"/>
            </w:pPr>
            <w:r>
              <w:rPr>
                <w:sz w:val="15"/>
              </w:rPr>
              <w:t>Policy, compatibility, data boundary, budget and explicit approval</w:t>
            </w:r>
          </w:p>
        </w:tc>
        <w:tc>
          <w:tcPr>
            <w:tcW w:type="dxa" w:w="2556"/>
          </w:tcPr>
          <w:p>
            <w:pPr>
              <w:spacing w:after="20"/>
            </w:pPr>
            <w:r>
              <w:rPr>
                <w:sz w:val="15"/>
              </w:rPr>
              <w:t>Existing planning/approval lifecycle</w:t>
            </w:r>
          </w:p>
        </w:tc>
        <w:tc>
          <w:tcPr>
            <w:tcW w:type="dxa" w:w="2556"/>
          </w:tcPr>
          <w:p>
            <w:pPr>
              <w:spacing w:after="20"/>
            </w:pPr>
            <w:r>
              <w:rPr>
                <w:sz w:val="15"/>
              </w:rPr>
              <w:t>Decision trace contains reasons, estimate and approver</w:t>
            </w:r>
          </w:p>
        </w:tc>
      </w:tr>
      <w:tr>
        <w:tc>
          <w:tcPr>
            <w:tcW w:type="dxa" w:w="2556"/>
          </w:tcPr>
          <w:p>
            <w:pPr>
              <w:spacing w:after="20"/>
            </w:pPr>
            <w:r>
              <w:rPr>
                <w:sz w:val="15"/>
              </w:rPr>
              <w:t>6 — Simulated happy path</w:t>
            </w:r>
          </w:p>
        </w:tc>
        <w:tc>
          <w:tcPr>
            <w:tcW w:type="dxa" w:w="2556"/>
          </w:tcPr>
          <w:p>
            <w:pPr>
              <w:spacing w:after="20"/>
            </w:pPr>
            <w:r>
              <w:rPr>
                <w:sz w:val="15"/>
              </w:rPr>
              <w:t>Synthetic Sydney facility, CPU/GPU nodes, local-data marker, changing power/capacity, mock scheduler</w:t>
            </w:r>
          </w:p>
        </w:tc>
        <w:tc>
          <w:tcPr>
            <w:tcW w:type="dxa" w:w="2556"/>
          </w:tcPr>
          <w:p>
            <w:pPr>
              <w:spacing w:after="20"/>
            </w:pPr>
            <w:r>
              <w:rPr>
                <w:sz w:val="15"/>
              </w:rPr>
              <w:t>Existing simulation/tests/fixtures</w:t>
            </w:r>
          </w:p>
        </w:tc>
        <w:tc>
          <w:tcPr>
            <w:tcW w:type="dxa" w:w="2556"/>
          </w:tcPr>
          <w:p>
            <w:pPr>
              <w:spacing w:after="20"/>
            </w:pPr>
            <w:r>
              <w:rPr>
                <w:sz w:val="15"/>
              </w:rPr>
              <w:t>End-to-end proves no dataset copy</w:t>
            </w:r>
          </w:p>
        </w:tc>
      </w:tr>
      <w:tr>
        <w:tc>
          <w:tcPr>
            <w:tcW w:type="dxa" w:w="2556"/>
          </w:tcPr>
          <w:p>
            <w:pPr>
              <w:spacing w:after="20"/>
            </w:pPr>
            <w:r>
              <w:rPr>
                <w:sz w:val="15"/>
              </w:rPr>
              <w:t>7 — Execution/evidence</w:t>
            </w:r>
          </w:p>
        </w:tc>
        <w:tc>
          <w:tcPr>
            <w:tcW w:type="dxa" w:w="2556"/>
          </w:tcPr>
          <w:p>
            <w:pPr>
              <w:spacing w:after="20"/>
            </w:pPr>
            <w:r>
              <w:rPr>
                <w:sz w:val="15"/>
              </w:rPr>
              <w:t>Bounded mock job, permitted logs, usage, result reference/hash and validation</w:t>
            </w:r>
          </w:p>
        </w:tc>
        <w:tc>
          <w:tcPr>
            <w:tcW w:type="dxa" w:w="2556"/>
          </w:tcPr>
          <w:p>
            <w:pPr>
              <w:spacing w:after="20"/>
            </w:pPr>
            <w:r>
              <w:rPr>
                <w:sz w:val="15"/>
              </w:rPr>
              <w:t>Existing execution/evidence/metrics</w:t>
            </w:r>
          </w:p>
        </w:tc>
        <w:tc>
          <w:tcPr>
            <w:tcW w:type="dxa" w:w="2556"/>
          </w:tcPr>
          <w:p>
            <w:pPr>
              <w:spacing w:after="20"/>
            </w:pPr>
            <w:r>
              <w:rPr>
                <w:sz w:val="15"/>
              </w:rPr>
              <w:t>Export policy and error handling pass</w:t>
            </w:r>
          </w:p>
        </w:tc>
      </w:tr>
      <w:tr>
        <w:tc>
          <w:tcPr>
            <w:tcW w:type="dxa" w:w="2556"/>
          </w:tcPr>
          <w:p>
            <w:pPr>
              <w:spacing w:after="20"/>
            </w:pPr>
            <w:r>
              <w:rPr>
                <w:sz w:val="15"/>
              </w:rPr>
              <w:t>8 — Release/revalidate</w:t>
            </w:r>
          </w:p>
        </w:tc>
        <w:tc>
          <w:tcPr>
            <w:tcW w:type="dxa" w:w="2556"/>
          </w:tcPr>
          <w:p>
            <w:pPr>
              <w:spacing w:after="20"/>
            </w:pPr>
            <w:r>
              <w:rPr>
                <w:sz w:val="15"/>
              </w:rPr>
              <w:t>Close job, retention, release, refresh availability, reconcile usage, revalidate stale access</w:t>
            </w:r>
          </w:p>
        </w:tc>
        <w:tc>
          <w:tcPr>
            <w:tcW w:type="dxa" w:w="2556"/>
          </w:tcPr>
          <w:p>
            <w:pPr>
              <w:spacing w:after="20"/>
            </w:pPr>
            <w:r>
              <w:rPr>
                <w:sz w:val="15"/>
              </w:rPr>
              <w:t>Existing lifecycle/cleanup/monitoring</w:t>
            </w:r>
          </w:p>
        </w:tc>
        <w:tc>
          <w:tcPr>
            <w:tcW w:type="dxa" w:w="2556"/>
          </w:tcPr>
          <w:p>
            <w:pPr>
              <w:spacing w:after="20"/>
            </w:pPr>
            <w:r>
              <w:rPr>
                <w:sz w:val="15"/>
              </w:rPr>
              <w:t>Idempotent cleanup; stale resources blocked</w:t>
            </w:r>
          </w:p>
        </w:tc>
      </w:tr>
      <w:tr>
        <w:tc>
          <w:tcPr>
            <w:tcW w:type="dxa" w:w="2556"/>
          </w:tcPr>
          <w:p>
            <w:pPr>
              <w:spacing w:after="20"/>
            </w:pPr>
            <w:r>
              <w:rPr>
                <w:sz w:val="15"/>
              </w:rPr>
              <w:t>9 — Real-provider pilot</w:t>
            </w:r>
          </w:p>
        </w:tc>
        <w:tc>
          <w:tcPr>
            <w:tcW w:type="dxa" w:w="2556"/>
          </w:tcPr>
          <w:p>
            <w:pPr>
              <w:spacing w:after="20"/>
            </w:pPr>
            <w:r>
              <w:rPr>
                <w:sz w:val="15"/>
              </w:rPr>
              <w:t>Qualify provider; read-only first, then bounded workload after approval</w:t>
            </w:r>
          </w:p>
        </w:tc>
        <w:tc>
          <w:tcPr>
            <w:tcW w:type="dxa" w:w="2556"/>
          </w:tcPr>
          <w:p>
            <w:pPr>
              <w:spacing w:after="20"/>
            </w:pPr>
            <w:r>
              <w:rPr>
                <w:sz w:val="15"/>
              </w:rPr>
              <w:t>Provider-specific adapter/runbook after qualification</w:t>
            </w:r>
          </w:p>
        </w:tc>
        <w:tc>
          <w:tcPr>
            <w:tcW w:type="dxa" w:w="2556"/>
          </w:tcPr>
          <w:p>
            <w:pPr>
              <w:spacing w:after="20"/>
            </w:pPr>
            <w:r>
              <w:rPr>
                <w:sz w:val="15"/>
              </w:rPr>
              <w:t>Authorized acceptance test and limitations</w:t>
            </w:r>
          </w:p>
        </w:tc>
      </w:tr>
      <w:tr>
        <w:tc>
          <w:tcPr>
            <w:tcW w:type="dxa" w:w="2556"/>
          </w:tcPr>
          <w:p>
            <w:pPr>
              <w:spacing w:after="20"/>
            </w:pPr>
            <w:r>
              <w:rPr>
                <w:sz w:val="15"/>
              </w:rPr>
              <w:t>10 — Service operations</w:t>
            </w:r>
          </w:p>
        </w:tc>
        <w:tc>
          <w:tcPr>
            <w:tcW w:type="dxa" w:w="2556"/>
          </w:tcPr>
          <w:p>
            <w:pPr>
              <w:spacing w:after="20"/>
            </w:pPr>
            <w:r>
              <w:rPr>
                <w:sz w:val="15"/>
              </w:rPr>
              <w:t>Metering, support/escalation, audit, versioning and runbooks</w:t>
            </w:r>
          </w:p>
        </w:tc>
        <w:tc>
          <w:tcPr>
            <w:tcW w:type="dxa" w:w="2556"/>
          </w:tcPr>
          <w:p>
            <w:pPr>
              <w:spacing w:after="20"/>
            </w:pPr>
            <w:r>
              <w:rPr>
                <w:sz w:val="15"/>
              </w:rPr>
              <w:t>Existing DCaaS service/assurance/lifecycle</w:t>
            </w:r>
          </w:p>
        </w:tc>
        <w:tc>
          <w:tcPr>
            <w:tcW w:type="dxa" w:w="2556"/>
          </w:tcPr>
          <w:p>
            <w:pPr>
              <w:spacing w:after="20"/>
            </w:pPr>
            <w:r>
              <w:rPr>
                <w:sz w:val="15"/>
              </w:rPr>
              <w:t>Repeatable onboarding/offboarding</w:t>
            </w:r>
          </w:p>
        </w:tc>
      </w:tr>
    </w:tbl>
    <w:p/>
    <w:p>
      <w:pPr>
        <w:pStyle w:val="Heading1"/>
      </w:pPr>
      <w:r>
        <w:t>10. File placement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Concern</w:t>
            </w:r>
          </w:p>
        </w:tc>
        <w:tc>
          <w:tcPr>
            <w:tcW w:type="dxa" w:w="3408"/>
          </w:tcPr>
          <w:p>
            <w:r>
              <w:rPr>
                <w:b/>
                <w:sz w:val="16"/>
              </w:rPr>
              <w:t>Map to existing area</w:t>
            </w:r>
          </w:p>
        </w:tc>
        <w:tc>
          <w:tcPr>
            <w:tcW w:type="dxa" w:w="3408"/>
          </w:tcPr>
          <w:p>
            <w:r>
              <w:rPr>
                <w:b/>
                <w:sz w:val="16"/>
              </w:rPr>
              <w:t>Artefacts</w:t>
            </w:r>
          </w:p>
        </w:tc>
      </w:tr>
      <w:tr>
        <w:tc>
          <w:tcPr>
            <w:tcW w:type="dxa" w:w="3408"/>
          </w:tcPr>
          <w:p>
            <w:pPr>
              <w:spacing w:after="20"/>
            </w:pPr>
            <w:r>
              <w:rPr>
                <w:sz w:val="15"/>
              </w:rPr>
              <w:t>CPS schema</w:t>
            </w:r>
          </w:p>
        </w:tc>
        <w:tc>
          <w:tcPr>
            <w:tcW w:type="dxa" w:w="3408"/>
          </w:tcPr>
          <w:p>
            <w:pPr>
              <w:spacing w:after="20"/>
            </w:pPr>
            <w:r>
              <w:rPr>
                <w:sz w:val="15"/>
              </w:rPr>
              <w:t>CPS / virtual asset models</w:t>
            </w:r>
          </w:p>
        </w:tc>
        <w:tc>
          <w:tcPr>
            <w:tcW w:type="dxa" w:w="3408"/>
          </w:tcPr>
          <w:p>
            <w:pPr>
              <w:spacing w:after="20"/>
            </w:pPr>
            <w:r>
              <w:rPr>
                <w:sz w:val="15"/>
              </w:rPr>
              <w:t>Provider, facility, asset, capability, dependency, provenance</w:t>
            </w:r>
          </w:p>
        </w:tc>
      </w:tr>
      <w:tr>
        <w:tc>
          <w:tcPr>
            <w:tcW w:type="dxa" w:w="3408"/>
          </w:tcPr>
          <w:p>
            <w:pPr>
              <w:spacing w:after="20"/>
            </w:pPr>
            <w:r>
              <w:rPr>
                <w:sz w:val="15"/>
              </w:rPr>
              <w:t>Connectors</w:t>
            </w:r>
          </w:p>
        </w:tc>
        <w:tc>
          <w:tcPr>
            <w:tcW w:type="dxa" w:w="3408"/>
          </w:tcPr>
          <w:p>
            <w:pPr>
              <w:spacing w:after="20"/>
            </w:pPr>
            <w:r>
              <w:rPr>
                <w:sz w:val="15"/>
              </w:rPr>
              <w:t>Deployment Operator integrations</w:t>
            </w:r>
          </w:p>
        </w:tc>
        <w:tc>
          <w:tcPr>
            <w:tcW w:type="dxa" w:w="3408"/>
          </w:tcPr>
          <w:p>
            <w:pPr>
              <w:spacing w:after="20"/>
            </w:pPr>
            <w:r>
              <w:rPr>
                <w:sz w:val="15"/>
              </w:rPr>
              <w:t>Adapter contract, mock and later provider-specific adapters</w:t>
            </w:r>
          </w:p>
        </w:tc>
      </w:tr>
      <w:tr>
        <w:tc>
          <w:tcPr>
            <w:tcW w:type="dxa" w:w="3408"/>
          </w:tcPr>
          <w:p>
            <w:pPr>
              <w:spacing w:after="20"/>
            </w:pPr>
            <w:r>
              <w:rPr>
                <w:sz w:val="15"/>
              </w:rPr>
              <w:t>Planning</w:t>
            </w:r>
          </w:p>
        </w:tc>
        <w:tc>
          <w:tcPr>
            <w:tcW w:type="dxa" w:w="3408"/>
          </w:tcPr>
          <w:p>
            <w:pPr>
              <w:spacing w:after="20"/>
            </w:pPr>
            <w:r>
              <w:rPr>
                <w:sz w:val="15"/>
              </w:rPr>
              <w:t>Deployment Operator planning/assessment</w:t>
            </w:r>
          </w:p>
        </w:tc>
        <w:tc>
          <w:tcPr>
            <w:tcW w:type="dxa" w:w="3408"/>
          </w:tcPr>
          <w:p>
            <w:pPr>
              <w:spacing w:after="20"/>
            </w:pPr>
            <w:r>
              <w:rPr>
                <w:sz w:val="15"/>
              </w:rPr>
              <w:t>Request, compatibility, power/capacity assessment, approval</w:t>
            </w:r>
          </w:p>
        </w:tc>
      </w:tr>
      <w:tr>
        <w:tc>
          <w:tcPr>
            <w:tcW w:type="dxa" w:w="3408"/>
          </w:tcPr>
          <w:p>
            <w:pPr>
              <w:spacing w:after="20"/>
            </w:pPr>
            <w:r>
              <w:rPr>
                <w:sz w:val="15"/>
              </w:rPr>
              <w:t>Evidence</w:t>
            </w:r>
          </w:p>
        </w:tc>
        <w:tc>
          <w:tcPr>
            <w:tcW w:type="dxa" w:w="3408"/>
          </w:tcPr>
          <w:p>
            <w:pPr>
              <w:spacing w:after="20"/>
            </w:pPr>
            <w:r>
              <w:rPr>
                <w:sz w:val="15"/>
              </w:rPr>
              <w:t>Experiment/results/evidence</w:t>
            </w:r>
          </w:p>
        </w:tc>
        <w:tc>
          <w:tcPr>
            <w:tcW w:type="dxa" w:w="3408"/>
          </w:tcPr>
          <w:p>
            <w:pPr>
              <w:spacing w:after="20"/>
            </w:pPr>
            <w:r>
              <w:rPr>
                <w:sz w:val="15"/>
              </w:rPr>
              <w:t>Execution receipt, status, approved result metadata, validation</w:t>
            </w:r>
          </w:p>
        </w:tc>
      </w:tr>
      <w:tr>
        <w:tc>
          <w:tcPr>
            <w:tcW w:type="dxa" w:w="3408"/>
          </w:tcPr>
          <w:p>
            <w:pPr>
              <w:spacing w:after="20"/>
            </w:pPr>
            <w:r>
              <w:rPr>
                <w:sz w:val="15"/>
              </w:rPr>
              <w:t>Policy</w:t>
            </w:r>
          </w:p>
        </w:tc>
        <w:tc>
          <w:tcPr>
            <w:tcW w:type="dxa" w:w="3408"/>
          </w:tcPr>
          <w:p>
            <w:pPr>
              <w:spacing w:after="20"/>
            </w:pPr>
            <w:r>
              <w:rPr>
                <w:sz w:val="15"/>
              </w:rPr>
              <w:t>DCaaS assurance/governance</w:t>
            </w:r>
          </w:p>
        </w:tc>
        <w:tc>
          <w:tcPr>
            <w:tcW w:type="dxa" w:w="3408"/>
          </w:tcPr>
          <w:p>
            <w:pPr>
              <w:spacing w:after="20"/>
            </w:pPr>
            <w:r>
              <w:rPr>
                <w:sz w:val="15"/>
              </w:rPr>
              <w:t>Export policy, access matrix, audit and acceptance criteria</w:t>
            </w:r>
          </w:p>
        </w:tc>
      </w:tr>
      <w:tr>
        <w:tc>
          <w:tcPr>
            <w:tcW w:type="dxa" w:w="3408"/>
          </w:tcPr>
          <w:p>
            <w:pPr>
              <w:spacing w:after="20"/>
            </w:pPr>
            <w:r>
              <w:rPr>
                <w:sz w:val="15"/>
              </w:rPr>
              <w:t>Documentation</w:t>
            </w:r>
          </w:p>
        </w:tc>
        <w:tc>
          <w:tcPr>
            <w:tcW w:type="dxa" w:w="3408"/>
          </w:tcPr>
          <w:p>
            <w:pPr>
              <w:spacing w:after="20"/>
            </w:pPr>
            <w:r>
              <w:rPr>
                <w:sz w:val="15"/>
              </w:rPr>
              <w:t>Existing architecture/docs</w:t>
            </w:r>
          </w:p>
        </w:tc>
        <w:tc>
          <w:tcPr>
            <w:tcW w:type="dxa" w:w="3408"/>
          </w:tcPr>
          <w:p>
            <w:pPr>
              <w:spacing w:after="20"/>
            </w:pPr>
            <w:r>
              <w:rPr>
                <w:sz w:val="15"/>
              </w:rPr>
              <w:t>shared_infrastructure_onboarding_and_allocation.md; onboarding runbook</w:t>
            </w:r>
          </w:p>
        </w:tc>
      </w:tr>
      <w:tr>
        <w:tc>
          <w:tcPr>
            <w:tcW w:type="dxa" w:w="3408"/>
          </w:tcPr>
          <w:p>
            <w:pPr>
              <w:spacing w:after="20"/>
            </w:pPr>
            <w:r>
              <w:rPr>
                <w:sz w:val="15"/>
              </w:rPr>
              <w:t>Tests</w:t>
            </w:r>
          </w:p>
        </w:tc>
        <w:tc>
          <w:tcPr>
            <w:tcW w:type="dxa" w:w="3408"/>
          </w:tcPr>
          <w:p>
            <w:pPr>
              <w:spacing w:after="20"/>
            </w:pPr>
            <w:r>
              <w:rPr>
                <w:sz w:val="15"/>
              </w:rPr>
              <w:t>Existing tests/fixtures/simulation</w:t>
            </w:r>
          </w:p>
        </w:tc>
        <w:tc>
          <w:tcPr>
            <w:tcW w:type="dxa" w:w="3408"/>
          </w:tcPr>
          <w:p>
            <w:pPr>
              <w:spacing w:after="20"/>
            </w:pPr>
            <w:r>
              <w:rPr>
                <w:sz w:val="15"/>
              </w:rPr>
              <w:t>Schema, adapter contract, happy and failure-path tests</w:t>
            </w:r>
          </w:p>
        </w:tc>
      </w:tr>
      <w:tr>
        <w:tc>
          <w:tcPr>
            <w:tcW w:type="dxa" w:w="3408"/>
          </w:tcPr>
          <w:p>
            <w:pPr>
              <w:spacing w:after="20"/>
            </w:pPr>
            <w:r>
              <w:rPr>
                <w:sz w:val="15"/>
              </w:rPr>
              <w:t>Operations</w:t>
            </w:r>
          </w:p>
        </w:tc>
        <w:tc>
          <w:tcPr>
            <w:tcW w:type="dxa" w:w="3408"/>
          </w:tcPr>
          <w:p>
            <w:pPr>
              <w:spacing w:after="20"/>
            </w:pPr>
            <w:r>
              <w:rPr>
                <w:sz w:val="15"/>
              </w:rPr>
              <w:t>Existing lifecycle/monitoring/usage</w:t>
            </w:r>
          </w:p>
        </w:tc>
        <w:tc>
          <w:tcPr>
            <w:tcW w:type="dxa" w:w="3408"/>
          </w:tcPr>
          <w:p>
            <w:pPr>
              <w:spacing w:after="20"/>
            </w:pPr>
            <w:r>
              <w:rPr>
                <w:sz w:val="15"/>
              </w:rPr>
              <w:t>Release, revalidation, metering and incident runbooks</w:t>
            </w:r>
          </w:p>
        </w:tc>
      </w:tr>
    </w:tbl>
    <w:p/>
    <w:p>
      <w:r>
        <w:t>Do not create every suggested file mechanically. First identify equivalent modules and extend them where appropriate.</w:t>
      </w:r>
    </w:p>
    <w:p>
      <w:pPr>
        <w:pStyle w:val="Heading1"/>
      </w:pPr>
      <w:r>
        <w:t>11. One happy use case — Sydney research cluster</w:t>
      </w:r>
    </w:p>
    <w:p>
      <w:r>
        <w:t>Scenario: an authorized research team requests a bounded irrigation-scheduling experiment. A shared Sydney GPU/HPC environment is available. Confidential data stays on the client server; initial integration uses synthetic data or a locally generated fixture.</w:t>
      </w:r>
    </w:p>
    <w:p>
      <w:pPr>
        <w:pStyle w:val="ListNumber"/>
      </w:pPr>
      <w:r>
        <w:t>Provider administrator registers the facility and grants minimum approved discovery/job-submission rights.</w:t>
      </w:r>
    </w:p>
    <w:p>
      <w:pPr>
        <w:pStyle w:val="ListNumber"/>
      </w:pPr>
      <w:r>
        <w:t>Adapter authenticates and verifies authorization; it discovers an approved cluster endpoint and reads permitted metadata only.</w:t>
      </w:r>
    </w:p>
    <w:p>
      <w:pPr>
        <w:pStyle w:val="ListNumber"/>
      </w:pPr>
      <w:r>
        <w:t>CPS registers facility, cluster and eligible CPU/GPU resources with stable IDs and provenance.</w:t>
      </w:r>
    </w:p>
    <w:p>
      <w:pPr>
        <w:pStyle w:val="ListNumber"/>
      </w:pPr>
      <w:r>
        <w:t>CPS creates virtual representations and scheduler/storage/network dependencies. No client dataset is copied to QAI.</w:t>
      </w:r>
    </w:p>
    <w:p>
      <w:pPr>
        <w:pStyle w:val="ListNumber"/>
      </w:pPr>
      <w:r>
        <w:t>Project request specifies experiment, runtime, GPU/memory needs, data boundary, execution window, budget and output policy.</w:t>
      </w:r>
    </w:p>
    <w:p>
      <w:pPr>
        <w:pStyle w:val="ListNumber"/>
      </w:pPr>
      <w:r>
        <w:t>Allocator checks compute, reservations, power headroom if exposed, data policy, dependencies and costs; it prepares a plan without provisioning automatically.</w:t>
      </w:r>
    </w:p>
    <w:p>
      <w:pPr>
        <w:pStyle w:val="ListNumber"/>
      </w:pPr>
      <w:r>
        <w:t>Authorized approver accepts the plan; Deployment Operator submits a bounded job through the approved interface.</w:t>
      </w:r>
    </w:p>
    <w:p>
      <w:pPr>
        <w:pStyle w:val="ListNumber"/>
      </w:pPr>
      <w:r>
        <w:t>Workload reads data locally and executes inside the client environment; QAI receives only permitted status and outputs.</w:t>
      </w:r>
    </w:p>
    <w:p>
      <w:pPr>
        <w:pStyle w:val="ListNumber"/>
      </w:pPr>
      <w:r>
        <w:t>QAI records allowed metadata, usage, timing, result reference/hash and validation; logs are filtered by export policy.</w:t>
      </w:r>
    </w:p>
    <w:p>
      <w:pPr>
        <w:pStyle w:val="ListNumber"/>
      </w:pPr>
      <w:r>
        <w:t>Job closes; temporary workspace follows provider retention rules; allocation releases and availability refreshes.</w:t>
      </w:r>
    </w:p>
    <w:p>
      <w:pPr>
        <w:pStyle w:val="ListNumber"/>
      </w:pPr>
      <w:r>
        <w:t>Report compares results with a classical baseline. No quantum advantage or savings claim without measured evidence.</w:t>
      </w:r>
    </w:p>
    <w:p>
      <w:pPr>
        <w:pStyle w:val="Heading2"/>
      </w:pPr>
      <w:r>
        <w:t>Happy-path acceptance criteria</w:t>
      </w:r>
    </w:p>
    <w:p>
      <w:pPr>
        <w:pStyle w:val="ListBullet"/>
      </w:pPr>
      <w:r>
        <w:t>Stable provider/asset IDs traceable to approved source.</w:t>
      </w:r>
    </w:p>
    <w:p>
      <w:pPr>
        <w:pStyle w:val="ListBullet"/>
      </w:pPr>
      <w:r>
        <w:t>Credentials absent from asset metadata, source and logs.</w:t>
      </w:r>
    </w:p>
    <w:p>
      <w:pPr>
        <w:pStyle w:val="ListBullet"/>
      </w:pPr>
      <w:r>
        <w:t>No confidential dataset copied to QAI-controlled storage.</w:t>
      </w:r>
    </w:p>
    <w:p>
      <w:pPr>
        <w:pStyle w:val="ListBullet"/>
      </w:pPr>
      <w:r>
        <w:t>Allocation requires explicit authorization and respects compute, power, policy and cost constraints.</w:t>
      </w:r>
    </w:p>
    <w:p>
      <w:pPr>
        <w:pStyle w:val="ListBullet"/>
      </w:pPr>
      <w:r>
        <w:t>Stale/failed availability check blocks unsafe allocation.</w:t>
      </w:r>
    </w:p>
    <w:p>
      <w:pPr>
        <w:pStyle w:val="ListBullet"/>
      </w:pPr>
      <w:r>
        <w:t>Only permitted results/evidence cross the boundary.</w:t>
      </w:r>
    </w:p>
    <w:p>
      <w:pPr>
        <w:pStyle w:val="ListBullet"/>
      </w:pPr>
      <w:r>
        <w:t>Cleanup is safely retryable; allocation is released; lifecycle record is complete.</w:t>
      </w:r>
    </w:p>
    <w:p>
      <w:pPr>
        <w:pStyle w:val="Heading1"/>
      </w:pPr>
      <w:r>
        <w:t>12. Failure-path tests</w:t>
      </w:r>
    </w:p>
    <w:p>
      <w:pPr>
        <w:pStyle w:val="ListBullet"/>
      </w:pPr>
      <w:r>
        <w:t>Invalid/expired credentials or revoked authorization.</w:t>
      </w:r>
    </w:p>
    <w:p>
      <w:pPr>
        <w:pStyle w:val="ListBullet"/>
      </w:pPr>
      <w:r>
        <w:t>Resource is reserved, under maintenance or availability data is stale.</w:t>
      </w:r>
    </w:p>
    <w:p>
      <w:pPr>
        <w:pStyle w:val="ListBullet"/>
      </w:pPr>
      <w:r>
        <w:t>Power headroom exists but compatible GPU/memory/scheduler capacity does not.</w:t>
      </w:r>
    </w:p>
    <w:p>
      <w:pPr>
        <w:pStyle w:val="ListBullet"/>
      </w:pPr>
      <w:r>
        <w:t>Compute capacity exists but power/cooling constraint blocks the request.</w:t>
      </w:r>
    </w:p>
    <w:p>
      <w:pPr>
        <w:pStyle w:val="ListBullet"/>
      </w:pPr>
      <w:r>
        <w:t>Provider API/scheduler times out or job status becomes unknown.</w:t>
      </w:r>
    </w:p>
    <w:p>
      <w:pPr>
        <w:pStyle w:val="ListBullet"/>
      </w:pPr>
      <w:r>
        <w:t>Result contains restricted fields or export is denied.</w:t>
      </w:r>
    </w:p>
    <w:p>
      <w:pPr>
        <w:pStyle w:val="ListBullet"/>
      </w:pPr>
      <w:r>
        <w:t>Job fails/cancels and cleanup must be retried safely.</w:t>
      </w:r>
    </w:p>
    <w:p>
      <w:pPr>
        <w:pStyle w:val="ListBullet"/>
      </w:pPr>
      <w:r>
        <w:t>Provider changes interface/specification and resource requires revalidation.</w:t>
      </w:r>
    </w:p>
    <w:p>
      <w:pPr>
        <w:pStyle w:val="ListBullet"/>
      </w:pPr>
      <w:r>
        <w:t>Cost estimate exceeds project limit and approval is rejected or request replanned.</w:t>
      </w:r>
    </w:p>
    <w:p>
      <w:pPr>
        <w:pStyle w:val="Heading1"/>
      </w:pPr>
      <w:r>
        <w:t>13. Governance and delivery work packages</w:t>
      </w:r>
    </w:p>
    <w:p>
      <w:pPr>
        <w:pStyle w:val="ListBullet"/>
      </w:pPr>
      <w:r>
        <w:t>Least privilege, provider approval and auditable authorization are mandatory.</w:t>
      </w:r>
    </w:p>
    <w:p>
      <w:pPr>
        <w:pStyle w:val="ListBullet"/>
      </w:pPr>
      <w:r>
        <w:t>No unattended provisioning in the first milestone; separate plan, approve and execute.</w:t>
      </w:r>
    </w:p>
    <w:p>
      <w:pPr>
        <w:pStyle w:val="ListBullet"/>
      </w:pPr>
      <w:r>
        <w:t>Use synthetic/non-sensitive data in initial tests.</w:t>
      </w:r>
    </w:p>
    <w:p>
      <w:pPr>
        <w:pStyle w:val="ListBullet"/>
      </w:pPr>
      <w:r>
        <w:t>Keep provider-owned operations and native scheduler authority intact.</w:t>
      </w:r>
    </w:p>
    <w:p>
      <w:pPr>
        <w:pStyle w:val="ListBullet"/>
      </w:pPr>
      <w:r>
        <w:t>Define log minimization, classification, retention/deletion, result export and incident response.</w:t>
      </w:r>
    </w:p>
    <w:p>
      <w:pPr>
        <w:pStyle w:val="ListBullet"/>
      </w:pPr>
      <w:r>
        <w:t>Power/availability telemetry needs source, boundary, timestamp and confidence.</w:t>
      </w:r>
    </w:p>
    <w:p>
      <w:pPr>
        <w:pStyle w:val="ListBullet"/>
      </w:pPr>
      <w:r>
        <w:t>Do not promise energy/water savings, uptime SLAs, quantum advantage or ROI without evidence and defined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Work package</w:t>
            </w:r>
          </w:p>
        </w:tc>
        <w:tc>
          <w:tcPr>
            <w:tcW w:type="dxa" w:w="3408"/>
          </w:tcPr>
          <w:p>
            <w:r>
              <w:rPr>
                <w:b/>
                <w:sz w:val="16"/>
              </w:rPr>
              <w:t>Deliverable</w:t>
            </w:r>
          </w:p>
        </w:tc>
        <w:tc>
          <w:tcPr>
            <w:tcW w:type="dxa" w:w="3408"/>
          </w:tcPr>
          <w:p>
            <w:r>
              <w:rPr>
                <w:b/>
                <w:sz w:val="16"/>
              </w:rPr>
              <w:t>Gate</w:t>
            </w:r>
          </w:p>
        </w:tc>
      </w:tr>
      <w:tr>
        <w:tc>
          <w:tcPr>
            <w:tcW w:type="dxa" w:w="3408"/>
          </w:tcPr>
          <w:p>
            <w:pPr>
              <w:spacing w:after="20"/>
            </w:pPr>
            <w:r>
              <w:rPr>
                <w:sz w:val="15"/>
              </w:rPr>
              <w:t>WP-01 Repo assessment</w:t>
            </w:r>
          </w:p>
        </w:tc>
        <w:tc>
          <w:tcPr>
            <w:tcW w:type="dxa" w:w="3408"/>
          </w:tcPr>
          <w:p>
            <w:pPr>
              <w:spacing w:after="20"/>
            </w:pPr>
            <w:r>
              <w:rPr>
                <w:sz w:val="15"/>
              </w:rPr>
              <w:t>Inventory, schema map, reuse/gap decision and file plan</w:t>
            </w:r>
          </w:p>
        </w:tc>
        <w:tc>
          <w:tcPr>
            <w:tcW w:type="dxa" w:w="3408"/>
          </w:tcPr>
          <w:p>
            <w:pPr>
              <w:spacing w:after="20"/>
            </w:pPr>
            <w:r>
              <w:rPr>
                <w:sz w:val="15"/>
              </w:rPr>
              <w:t>Scope approved</w:t>
            </w:r>
          </w:p>
        </w:tc>
      </w:tr>
      <w:tr>
        <w:tc>
          <w:tcPr>
            <w:tcW w:type="dxa" w:w="3408"/>
          </w:tcPr>
          <w:p>
            <w:pPr>
              <w:spacing w:after="20"/>
            </w:pPr>
            <w:r>
              <w:rPr>
                <w:sz w:val="15"/>
              </w:rPr>
              <w:t>WP-02 Onboarding contract</w:t>
            </w:r>
          </w:p>
        </w:tc>
        <w:tc>
          <w:tcPr>
            <w:tcW w:type="dxa" w:w="3408"/>
          </w:tcPr>
          <w:p>
            <w:pPr>
              <w:spacing w:after="20"/>
            </w:pPr>
            <w:r>
              <w:rPr>
                <w:sz w:val="15"/>
              </w:rPr>
              <w:t>Provider/facility/asset/capability/evidence schemas</w:t>
            </w:r>
          </w:p>
        </w:tc>
        <w:tc>
          <w:tcPr>
            <w:tcW w:type="dxa" w:w="3408"/>
          </w:tcPr>
          <w:p>
            <w:pPr>
              <w:spacing w:after="20"/>
            </w:pPr>
            <w:r>
              <w:rPr>
                <w:sz w:val="15"/>
              </w:rPr>
              <w:t>Schema/security review</w:t>
            </w:r>
          </w:p>
        </w:tc>
      </w:tr>
      <w:tr>
        <w:tc>
          <w:tcPr>
            <w:tcW w:type="dxa" w:w="3408"/>
          </w:tcPr>
          <w:p>
            <w:pPr>
              <w:spacing w:after="20"/>
            </w:pPr>
            <w:r>
              <w:rPr>
                <w:sz w:val="15"/>
              </w:rPr>
              <w:t>WP-03 Adapter contract</w:t>
            </w:r>
          </w:p>
        </w:tc>
        <w:tc>
          <w:tcPr>
            <w:tcW w:type="dxa" w:w="3408"/>
          </w:tcPr>
          <w:p>
            <w:pPr>
              <w:spacing w:after="20"/>
            </w:pPr>
            <w:r>
              <w:rPr>
                <w:sz w:val="15"/>
              </w:rPr>
              <w:t>Mock adapter and interface tests</w:t>
            </w:r>
          </w:p>
        </w:tc>
        <w:tc>
          <w:tcPr>
            <w:tcW w:type="dxa" w:w="3408"/>
          </w:tcPr>
          <w:p>
            <w:pPr>
              <w:spacing w:after="20"/>
            </w:pPr>
            <w:r>
              <w:rPr>
                <w:sz w:val="15"/>
              </w:rPr>
              <w:t>Contract tests pass</w:t>
            </w:r>
          </w:p>
        </w:tc>
      </w:tr>
      <w:tr>
        <w:tc>
          <w:tcPr>
            <w:tcW w:type="dxa" w:w="3408"/>
          </w:tcPr>
          <w:p>
            <w:pPr>
              <w:spacing w:after="20"/>
            </w:pPr>
            <w:r>
              <w:rPr>
                <w:sz w:val="15"/>
              </w:rPr>
              <w:t>WP-04 Virtual assets/constraints</w:t>
            </w:r>
          </w:p>
        </w:tc>
        <w:tc>
          <w:tcPr>
            <w:tcW w:type="dxa" w:w="3408"/>
          </w:tcPr>
          <w:p>
            <w:pPr>
              <w:spacing w:after="20"/>
            </w:pPr>
            <w:r>
              <w:rPr>
                <w:sz w:val="15"/>
              </w:rPr>
              <w:t>CPS representation and power/capacity model</w:t>
            </w:r>
          </w:p>
        </w:tc>
        <w:tc>
          <w:tcPr>
            <w:tcW w:type="dxa" w:w="3408"/>
          </w:tcPr>
          <w:p>
            <w:pPr>
              <w:spacing w:after="20"/>
            </w:pPr>
            <w:r>
              <w:rPr>
                <w:sz w:val="15"/>
              </w:rPr>
              <w:t>Validation tests pass</w:t>
            </w:r>
          </w:p>
        </w:tc>
      </w:tr>
      <w:tr>
        <w:tc>
          <w:tcPr>
            <w:tcW w:type="dxa" w:w="3408"/>
          </w:tcPr>
          <w:p>
            <w:pPr>
              <w:spacing w:after="20"/>
            </w:pPr>
            <w:r>
              <w:rPr>
                <w:sz w:val="15"/>
              </w:rPr>
              <w:t>WP-05 Plan/approve</w:t>
            </w:r>
          </w:p>
        </w:tc>
        <w:tc>
          <w:tcPr>
            <w:tcW w:type="dxa" w:w="3408"/>
          </w:tcPr>
          <w:p>
            <w:pPr>
              <w:spacing w:after="20"/>
            </w:pPr>
            <w:r>
              <w:rPr>
                <w:sz w:val="15"/>
              </w:rPr>
              <w:t>Allocation proposal and approval control</w:t>
            </w:r>
          </w:p>
        </w:tc>
        <w:tc>
          <w:tcPr>
            <w:tcW w:type="dxa" w:w="3408"/>
          </w:tcPr>
          <w:p>
            <w:pPr>
              <w:spacing w:after="20"/>
            </w:pPr>
            <w:r>
              <w:rPr>
                <w:sz w:val="15"/>
              </w:rPr>
              <w:t>Policy tests pass</w:t>
            </w:r>
          </w:p>
        </w:tc>
      </w:tr>
      <w:tr>
        <w:tc>
          <w:tcPr>
            <w:tcW w:type="dxa" w:w="3408"/>
          </w:tcPr>
          <w:p>
            <w:pPr>
              <w:spacing w:after="20"/>
            </w:pPr>
            <w:r>
              <w:rPr>
                <w:sz w:val="15"/>
              </w:rPr>
              <w:t>WP-06 Happy-path simulation</w:t>
            </w:r>
          </w:p>
        </w:tc>
        <w:tc>
          <w:tcPr>
            <w:tcW w:type="dxa" w:w="3408"/>
          </w:tcPr>
          <w:p>
            <w:pPr>
              <w:spacing w:after="20"/>
            </w:pPr>
            <w:r>
              <w:rPr>
                <w:sz w:val="15"/>
              </w:rPr>
              <w:t>Synthetic Sydney cluster end-to-end test</w:t>
            </w:r>
          </w:p>
        </w:tc>
        <w:tc>
          <w:tcPr>
            <w:tcW w:type="dxa" w:w="3408"/>
          </w:tcPr>
          <w:p>
            <w:pPr>
              <w:spacing w:after="20"/>
            </w:pPr>
            <w:r>
              <w:rPr>
                <w:sz w:val="15"/>
              </w:rPr>
              <w:t>Data boundary/release pass</w:t>
            </w:r>
          </w:p>
        </w:tc>
      </w:tr>
      <w:tr>
        <w:tc>
          <w:tcPr>
            <w:tcW w:type="dxa" w:w="3408"/>
          </w:tcPr>
          <w:p>
            <w:pPr>
              <w:spacing w:after="20"/>
            </w:pPr>
            <w:r>
              <w:rPr>
                <w:sz w:val="15"/>
              </w:rPr>
              <w:t>WP-07 Failure hardening</w:t>
            </w:r>
          </w:p>
        </w:tc>
        <w:tc>
          <w:tcPr>
            <w:tcW w:type="dxa" w:w="3408"/>
          </w:tcPr>
          <w:p>
            <w:pPr>
              <w:spacing w:after="20"/>
            </w:pPr>
            <w:r>
              <w:rPr>
                <w:sz w:val="15"/>
              </w:rPr>
              <w:t>Credential, stale data, capacity, export, timeout, cleanup tests</w:t>
            </w:r>
          </w:p>
        </w:tc>
        <w:tc>
          <w:tcPr>
            <w:tcW w:type="dxa" w:w="3408"/>
          </w:tcPr>
          <w:p>
            <w:pPr>
              <w:spacing w:after="20"/>
            </w:pPr>
            <w:r>
              <w:rPr>
                <w:sz w:val="15"/>
              </w:rPr>
              <w:t>Failure tests pass</w:t>
            </w:r>
          </w:p>
        </w:tc>
      </w:tr>
      <w:tr>
        <w:tc>
          <w:tcPr>
            <w:tcW w:type="dxa" w:w="3408"/>
          </w:tcPr>
          <w:p>
            <w:pPr>
              <w:spacing w:after="20"/>
            </w:pPr>
            <w:r>
              <w:rPr>
                <w:sz w:val="15"/>
              </w:rPr>
              <w:t>WP-08 Provider qualification</w:t>
            </w:r>
          </w:p>
        </w:tc>
        <w:tc>
          <w:tcPr>
            <w:tcW w:type="dxa" w:w="3408"/>
          </w:tcPr>
          <w:p>
            <w:pPr>
              <w:spacing w:after="20"/>
            </w:pPr>
            <w:r>
              <w:rPr>
                <w:sz w:val="15"/>
              </w:rPr>
              <w:t>Access, contract, security, interface and cost evidence</w:t>
            </w:r>
          </w:p>
        </w:tc>
        <w:tc>
          <w:tcPr>
            <w:tcW w:type="dxa" w:w="3408"/>
          </w:tcPr>
          <w:p>
            <w:pPr>
              <w:spacing w:after="20"/>
            </w:pPr>
            <w:r>
              <w:rPr>
                <w:sz w:val="15"/>
              </w:rPr>
              <w:t>Provider approval</w:t>
            </w:r>
          </w:p>
        </w:tc>
      </w:tr>
      <w:tr>
        <w:tc>
          <w:tcPr>
            <w:tcW w:type="dxa" w:w="3408"/>
          </w:tcPr>
          <w:p>
            <w:pPr>
              <w:spacing w:after="20"/>
            </w:pPr>
            <w:r>
              <w:rPr>
                <w:sz w:val="15"/>
              </w:rPr>
              <w:t>WP-09 Bounded pilot</w:t>
            </w:r>
          </w:p>
        </w:tc>
        <w:tc>
          <w:tcPr>
            <w:tcW w:type="dxa" w:w="3408"/>
          </w:tcPr>
          <w:p>
            <w:pPr>
              <w:spacing w:after="20"/>
            </w:pPr>
            <w:r>
              <w:rPr>
                <w:sz w:val="15"/>
              </w:rPr>
              <w:t>Authorized non-sensitive workload and evidence report</w:t>
            </w:r>
          </w:p>
        </w:tc>
        <w:tc>
          <w:tcPr>
            <w:tcW w:type="dxa" w:w="3408"/>
          </w:tcPr>
          <w:p>
            <w:pPr>
              <w:spacing w:after="20"/>
            </w:pPr>
            <w:r>
              <w:rPr>
                <w:sz w:val="15"/>
              </w:rPr>
              <w:t>Client/provider acceptance</w:t>
            </w:r>
          </w:p>
        </w:tc>
      </w:tr>
      <w:tr>
        <w:tc>
          <w:tcPr>
            <w:tcW w:type="dxa" w:w="3408"/>
          </w:tcPr>
          <w:p>
            <w:pPr>
              <w:spacing w:after="20"/>
            </w:pPr>
            <w:r>
              <w:rPr>
                <w:sz w:val="15"/>
              </w:rPr>
              <w:t>WP-10 Operations</w:t>
            </w:r>
          </w:p>
        </w:tc>
        <w:tc>
          <w:tcPr>
            <w:tcW w:type="dxa" w:w="3408"/>
          </w:tcPr>
          <w:p>
            <w:pPr>
              <w:spacing w:after="20"/>
            </w:pPr>
            <w:r>
              <w:rPr>
                <w:sz w:val="15"/>
              </w:rPr>
              <w:t>Runbooks, support, metering, audit and revalidation</w:t>
            </w:r>
          </w:p>
        </w:tc>
        <w:tc>
          <w:tcPr>
            <w:tcW w:type="dxa" w:w="3408"/>
          </w:tcPr>
          <w:p>
            <w:pPr>
              <w:spacing w:after="20"/>
            </w:pPr>
            <w:r>
              <w:rPr>
                <w:sz w:val="15"/>
              </w:rPr>
              <w:t>Readiness review</w:t>
            </w:r>
          </w:p>
        </w:tc>
      </w:tr>
    </w:tbl>
    <w:p/>
    <w:p>
      <w:pPr>
        <w:pStyle w:val="Heading1"/>
      </w:pPr>
      <w:r>
        <w:t>14. Key decisions and developer checklist</w:t>
      </w:r>
    </w:p>
    <w:p>
      <w:pPr>
        <w:pStyle w:val="ListBullet"/>
      </w:pPr>
      <w:r>
        <w:t>First pilot is virtual/simulated until a real provider is qualified and authorized.</w:t>
      </w:r>
    </w:p>
    <w:p>
      <w:pPr>
        <w:pStyle w:val="ListBullet"/>
      </w:pPr>
      <w:r>
        <w:t>Provider-specific adapters implement differences without changing the core CPS contract.</w:t>
      </w:r>
    </w:p>
    <w:p>
      <w:pPr>
        <w:pStyle w:val="ListBullet"/>
      </w:pPr>
      <w:r>
        <w:t>Client data remains local by default; export requires explicit policy-checked authorization.</w:t>
      </w:r>
    </w:p>
    <w:p>
      <w:pPr>
        <w:pStyle w:val="ListBullet"/>
      </w:pPr>
      <w:r>
        <w:t>Power is a feasibility constraint, not a proxy for compute availability or billable energy.</w:t>
      </w:r>
    </w:p>
    <w:p>
      <w:pPr>
        <w:pStyle w:val="ListBullet"/>
      </w:pPr>
      <w:r>
        <w:t>Only register QPU/quantum communication capabilities when interfaces and constraints are verified.</w:t>
      </w:r>
    </w:p>
    <w:p>
      <w:pPr>
        <w:pStyle w:val="ListBullet"/>
      </w:pPr>
      <w:r>
        <w:t>Extend existing schemas and lifecycle code; finalize exact paths after inspecting the actual VS Code tree.</w:t>
      </w:r>
    </w:p>
    <w:p>
      <w:pPr>
        <w:pStyle w:val="ListBullet"/>
      </w:pPr>
      <w:r>
        <w:t>☐ Inspect current repository tree and identify CPS, Deployment Operator, Hub, DCaaS and evidence modules.</w:t>
      </w:r>
    </w:p>
    <w:p>
      <w:pPr>
        <w:pStyle w:val="ListBullet"/>
      </w:pPr>
      <w:r>
        <w:t>☐ Record existing schemas and tests before changing code.</w:t>
      </w:r>
    </w:p>
    <w:p>
      <w:pPr>
        <w:pStyle w:val="ListBullet"/>
      </w:pPr>
      <w:r>
        <w:t>☐ Map requirements to existing files, gaps and proposed modifications.</w:t>
      </w:r>
    </w:p>
    <w:p>
      <w:pPr>
        <w:pStyle w:val="ListBullet"/>
      </w:pPr>
      <w:r>
        <w:t>☐ Implement schema validation and lifecycle transitions.</w:t>
      </w:r>
    </w:p>
    <w:p>
      <w:pPr>
        <w:pStyle w:val="ListBullet"/>
      </w:pPr>
      <w:r>
        <w:t>☐ Add mock adapter and synthetic Sydney facility fixtures.</w:t>
      </w:r>
    </w:p>
    <w:p>
      <w:pPr>
        <w:pStyle w:val="ListBullet"/>
      </w:pPr>
      <w:r>
        <w:t>☐ Test power and compute constraints independently and together.</w:t>
      </w:r>
    </w:p>
    <w:p>
      <w:pPr>
        <w:pStyle w:val="ListBullet"/>
      </w:pPr>
      <w:r>
        <w:t>☐ Test no-data-migration behavior and export filtering.</w:t>
      </w:r>
    </w:p>
    <w:p>
      <w:pPr>
        <w:pStyle w:val="ListBullet"/>
      </w:pPr>
      <w:r>
        <w:t>☐ Test approval gating, failure handling, cleanup and revalidation.</w:t>
      </w:r>
    </w:p>
    <w:p>
      <w:pPr>
        <w:pStyle w:val="ListBullet"/>
      </w:pPr>
      <w:r>
        <w:t>☐ Produce demo report with evidence, limitations and provider questions.</w:t>
      </w:r>
    </w:p>
    <w:p>
      <w:pPr>
        <w:pStyle w:val="ListBullet"/>
      </w:pPr>
      <w:r>
        <w:t>☐ Only then qualify a real Sydney provider.</w:t>
      </w:r>
    </w:p>
    <w:p>
      <w:pPr>
        <w:pStyle w:val="Heading1"/>
      </w:pPr>
      <w:r>
        <w:t>Appendix — Terminology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Term</w:t>
            </w:r>
          </w:p>
        </w:tc>
        <w:tc>
          <w:tcPr>
            <w:tcW w:type="dxa" w:w="5112"/>
          </w:tcPr>
          <w:p>
            <w:r>
              <w:rPr>
                <w:b/>
                <w:sz w:val="16"/>
              </w:rPr>
              <w:t>Meaning</w:t>
            </w:r>
          </w:p>
        </w:tc>
      </w:tr>
      <w:tr>
        <w:tc>
          <w:tcPr>
            <w:tcW w:type="dxa" w:w="5112"/>
          </w:tcPr>
          <w:p>
            <w:pPr>
              <w:spacing w:after="20"/>
            </w:pPr>
            <w:r>
              <w:rPr>
                <w:sz w:val="15"/>
              </w:rPr>
              <w:t>CPS</w:t>
            </w:r>
          </w:p>
        </w:tc>
        <w:tc>
          <w:tcPr>
            <w:tcW w:type="dxa" w:w="5112"/>
          </w:tcPr>
          <w:p>
            <w:pPr>
              <w:spacing w:after="20"/>
            </w:pPr>
            <w:r>
              <w:rPr>
                <w:sz w:val="15"/>
              </w:rPr>
              <w:t>Cyber-Physical System representation of assets, capabilities, dependencies and context</w:t>
            </w:r>
          </w:p>
        </w:tc>
      </w:tr>
      <w:tr>
        <w:tc>
          <w:tcPr>
            <w:tcW w:type="dxa" w:w="5112"/>
          </w:tcPr>
          <w:p>
            <w:pPr>
              <w:spacing w:after="20"/>
            </w:pPr>
            <w:r>
              <w:rPr>
                <w:sz w:val="15"/>
              </w:rPr>
              <w:t>Virtual asset</w:t>
            </w:r>
          </w:p>
        </w:tc>
        <w:tc>
          <w:tcPr>
            <w:tcW w:type="dxa" w:w="5112"/>
          </w:tcPr>
          <w:p>
            <w:pPr>
              <w:spacing w:after="20"/>
            </w:pPr>
            <w:r>
              <w:rPr>
                <w:sz w:val="15"/>
              </w:rPr>
              <w:t>Logical representation, not a duplicate physical system or dataset</w:t>
            </w:r>
          </w:p>
        </w:tc>
      </w:tr>
      <w:tr>
        <w:tc>
          <w:tcPr>
            <w:tcW w:type="dxa" w:w="5112"/>
          </w:tcPr>
          <w:p>
            <w:pPr>
              <w:spacing w:after="20"/>
            </w:pPr>
            <w:r>
              <w:rPr>
                <w:sz w:val="15"/>
              </w:rPr>
              <w:t>Federated onboarding</w:t>
            </w:r>
          </w:p>
        </w:tc>
        <w:tc>
          <w:tcPr>
            <w:tcW w:type="dxa" w:w="5112"/>
          </w:tcPr>
          <w:p>
            <w:pPr>
              <w:spacing w:after="20"/>
            </w:pPr>
            <w:r>
              <w:rPr>
                <w:sz w:val="15"/>
              </w:rPr>
              <w:t>Authorized integration of resources remaining under provider control</w:t>
            </w:r>
          </w:p>
        </w:tc>
      </w:tr>
      <w:tr>
        <w:tc>
          <w:tcPr>
            <w:tcW w:type="dxa" w:w="5112"/>
          </w:tcPr>
          <w:p>
            <w:pPr>
              <w:spacing w:after="20"/>
            </w:pPr>
            <w:r>
              <w:rPr>
                <w:sz w:val="15"/>
              </w:rPr>
              <w:t>Allocation</w:t>
            </w:r>
          </w:p>
        </w:tc>
        <w:tc>
          <w:tcPr>
            <w:tcW w:type="dxa" w:w="5112"/>
          </w:tcPr>
          <w:p>
            <w:pPr>
              <w:spacing w:after="20"/>
            </w:pPr>
            <w:r>
              <w:rPr>
                <w:sz w:val="15"/>
              </w:rPr>
              <w:t>Policy-governed reservation/assignment, distinct from consumption and billing</w:t>
            </w:r>
          </w:p>
        </w:tc>
      </w:tr>
      <w:tr>
        <w:tc>
          <w:tcPr>
            <w:tcW w:type="dxa" w:w="5112"/>
          </w:tcPr>
          <w:p>
            <w:pPr>
              <w:spacing w:after="20"/>
            </w:pPr>
            <w:r>
              <w:rPr>
                <w:sz w:val="15"/>
              </w:rPr>
              <w:t>Power headroom</w:t>
            </w:r>
          </w:p>
        </w:tc>
        <w:tc>
          <w:tcPr>
            <w:tcW w:type="dxa" w:w="5112"/>
          </w:tcPr>
          <w:p>
            <w:pPr>
              <w:spacing w:after="20"/>
            </w:pPr>
            <w:r>
              <w:rPr>
                <w:sz w:val="15"/>
              </w:rPr>
              <w:t>Permitted electrical capacity remaining after current load and reserve at a consistent boundary</w:t>
            </w:r>
          </w:p>
        </w:tc>
      </w:tr>
      <w:tr>
        <w:tc>
          <w:tcPr>
            <w:tcW w:type="dxa" w:w="5112"/>
          </w:tcPr>
          <w:p>
            <w:pPr>
              <w:spacing w:after="20"/>
            </w:pPr>
            <w:r>
              <w:rPr>
                <w:sz w:val="15"/>
              </w:rPr>
              <w:t>Execution adapter</w:t>
            </w:r>
          </w:p>
        </w:tc>
        <w:tc>
          <w:tcPr>
            <w:tcW w:type="dxa" w:w="5112"/>
          </w:tcPr>
          <w:p>
            <w:pPr>
              <w:spacing w:after="20"/>
            </w:pPr>
            <w:r>
              <w:rPr>
                <w:sz w:val="15"/>
              </w:rPr>
              <w:t>Provider-specific implementation of generic discovery/job/status/result operations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QAI Shared Infrastructure Onboarding &amp; Development Plan | Working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