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BHADALE IT</w:t>
      </w:r>
    </w:p>
    <w:p>
      <w:pPr>
        <w:pStyle w:val="Title"/>
        <w:jc w:val="center"/>
      </w:pPr>
      <w:r>
        <w:t>QAI Client Use Cases, Experiments</w:t>
        <w:br/>
        <w:t>&amp; Commercial SKU Framework</w:t>
      </w:r>
    </w:p>
    <w:p>
      <w:pPr>
        <w:jc w:val="center"/>
      </w:pPr>
      <w:r>
        <w:rPr>
          <w:i/>
          <w:sz w:val="24"/>
        </w:rPr>
        <w:t>A use-case-led, experiment-driven and modular approach to commercialisation</w:t>
      </w:r>
    </w:p>
    <w:p>
      <w:pPr>
        <w:jc w:val="center"/>
      </w:pPr>
      <w:r>
        <w:t>Working commercialisation framework | 21 October 2026</w:t>
      </w:r>
    </w:p>
    <w:p>
      <w:r>
        <w:br w:type="page"/>
      </w:r>
    </w:p>
    <w:p>
      <w:pPr>
        <w:pStyle w:val="Heading1"/>
      </w:pPr>
      <w:r>
        <w:t>1. Executive Summary</w:t>
      </w:r>
    </w:p>
    <w:p>
      <w:r>
        <w:t>QAI commercialisation should begin with the client’s problem and intended experiment—not with a fixed list of products. Clients may want to investigate a potential quantum-computing benefit, evaluate post-quantum cryptography (PQC), emulate a quantum network, study entanglement-related scenarios, optimise a cyber-physical system, or assess adoption readiness.</w:t>
      </w:r>
    </w:p>
    <w:p>
      <w:r>
        <w:t>The proposed model combines standard, orderable SKUs with configurable capabilities and execution environments. Clients can select individual modules or request a complete custom bundle. This is a proposed commercial design; each item must be mapped to existing assets and assigned an implementation and validation status before being marketed as available.</w:t>
      </w:r>
    </w:p>
    <w:p>
      <w:pPr>
        <w:pStyle w:val="Heading2"/>
      </w:pPr>
      <w:r>
        <w:t>Design principles</w:t>
      </w:r>
    </w:p>
    <w:p>
      <w:pPr>
        <w:pStyle w:val="ListBullet"/>
      </w:pPr>
      <w:r>
        <w:t>Lead with client outcomes and hypotheses.</w:t>
      </w:r>
    </w:p>
    <w:p>
      <w:pPr>
        <w:pStyle w:val="ListBullet"/>
      </w:pPr>
      <w:r>
        <w:t>Make experiments measurable, repeatable and evidence-driven.</w:t>
      </w:r>
    </w:p>
    <w:p>
      <w:pPr>
        <w:pStyle w:val="ListBullet"/>
      </w:pPr>
      <w:r>
        <w:t>Compare candidate approaches with a suitable baseline; do not promise quantum speedup in advance.</w:t>
      </w:r>
    </w:p>
    <w:p>
      <w:pPr>
        <w:pStyle w:val="ListBullet"/>
      </w:pPr>
      <w:r>
        <w:t>Separate objectives, capabilities, products, execution environments and services.</w:t>
      </w:r>
    </w:p>
    <w:p>
      <w:pPr>
        <w:pStyle w:val="ListBullet"/>
      </w:pPr>
      <w:r>
        <w:t>Support modular selection and custom bundles within validated technical and commercial boundaries.</w:t>
      </w:r>
    </w:p>
    <w:p>
      <w:pPr>
        <w:pStyle w:val="ListBullet"/>
      </w:pPr>
      <w:r>
        <w:t>Reuse QAI Factory engineering assets while protecting reusable core IP.</w:t>
      </w:r>
    </w:p>
    <w:p>
      <w:pPr>
        <w:pStyle w:val="ListBullet"/>
      </w:pPr>
      <w:r>
        <w:t>Distinguish simulation/emulation from results obtained on physical quantum hardware.</w:t>
      </w:r>
    </w:p>
    <w:p>
      <w:pPr>
        <w:pStyle w:val="Heading1"/>
      </w:pPr>
      <w:r>
        <w:t>2. Client Use Cases and Priority Experiment Areas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CFE2F3"/>
          </w:tcPr>
          <w:p>
            <w:pPr>
              <w:spacing w:after="20"/>
            </w:pPr>
            <w:r>
              <w:rPr>
                <w:b/>
                <w:sz w:val="15"/>
              </w:rPr>
              <w:t>Priority area</w:t>
            </w:r>
          </w:p>
        </w:tc>
        <w:tc>
          <w:tcPr>
            <w:tcW w:type="dxa" w:w="2556"/>
            <w:shd w:fill="CFE2F3"/>
          </w:tcPr>
          <w:p>
            <w:pPr>
              <w:spacing w:after="20"/>
            </w:pPr>
            <w:r>
              <w:rPr>
                <w:b/>
                <w:sz w:val="15"/>
              </w:rPr>
              <w:t>Client objective</w:t>
            </w:r>
          </w:p>
        </w:tc>
        <w:tc>
          <w:tcPr>
            <w:tcW w:type="dxa" w:w="2556"/>
            <w:shd w:fill="CFE2F3"/>
          </w:tcPr>
          <w:p>
            <w:pPr>
              <w:spacing w:after="20"/>
            </w:pPr>
            <w:r>
              <w:rPr>
                <w:b/>
                <w:sz w:val="15"/>
              </w:rPr>
              <w:t>Example experiments</w:t>
            </w:r>
          </w:p>
        </w:tc>
        <w:tc>
          <w:tcPr>
            <w:tcW w:type="dxa" w:w="2556"/>
            <w:shd w:fill="CFE2F3"/>
          </w:tcPr>
          <w:p>
            <w:pPr>
              <w:spacing w:after="20"/>
            </w:pPr>
            <w:r>
              <w:rPr>
                <w:b/>
                <w:sz w:val="15"/>
              </w:rPr>
              <w:t>Evidence or outcome</w:t>
            </w:r>
          </w:p>
        </w:tc>
      </w:tr>
      <w:tr>
        <w:tc>
          <w:tcPr>
            <w:tcW w:type="dxa" w:w="2556"/>
            <w:vAlign w:val="center"/>
          </w:tcPr>
          <w:p>
            <w:pPr>
              <w:spacing w:after="20"/>
            </w:pPr>
            <w:r>
              <w:rPr>
                <w:sz w:val="15"/>
              </w:rPr>
              <w:t>Quantum computing</w:t>
            </w:r>
          </w:p>
        </w:tc>
        <w:tc>
          <w:tcPr>
            <w:tcW w:type="dxa" w:w="2556"/>
            <w:vAlign w:val="center"/>
          </w:tcPr>
          <w:p>
            <w:pPr>
              <w:spacing w:after="20"/>
            </w:pPr>
            <w:r>
              <w:rPr>
                <w:sz w:val="15"/>
              </w:rPr>
              <w:t>Determine whether quantum or hybrid computing may improve a workload.</w:t>
            </w:r>
          </w:p>
        </w:tc>
        <w:tc>
          <w:tcPr>
            <w:tcW w:type="dxa" w:w="2556"/>
            <w:vAlign w:val="center"/>
          </w:tcPr>
          <w:p>
            <w:pPr>
              <w:spacing w:after="20"/>
            </w:pPr>
            <w:r>
              <w:rPr>
                <w:sz w:val="15"/>
              </w:rPr>
              <w:t>Compare classical, quantum and hybrid approaches; test decomposition, optimisation and resource needs.</w:t>
            </w:r>
          </w:p>
        </w:tc>
        <w:tc>
          <w:tcPr>
            <w:tcW w:type="dxa" w:w="2556"/>
            <w:vAlign w:val="center"/>
          </w:tcPr>
          <w:p>
            <w:pPr>
              <w:spacing w:after="20"/>
            </w:pPr>
            <w:r>
              <w:rPr>
                <w:sz w:val="15"/>
              </w:rPr>
              <w:t>Execution time, solution quality, resource consumption, reproducibility.</w:t>
            </w:r>
          </w:p>
        </w:tc>
      </w:tr>
      <w:tr>
        <w:tc>
          <w:tcPr>
            <w:tcW w:type="dxa" w:w="2556"/>
            <w:vAlign w:val="center"/>
          </w:tcPr>
          <w:p>
            <w:pPr>
              <w:spacing w:after="20"/>
            </w:pPr>
            <w:r>
              <w:rPr>
                <w:sz w:val="15"/>
              </w:rPr>
              <w:t>Quantum algorithm research</w:t>
            </w:r>
          </w:p>
        </w:tc>
        <w:tc>
          <w:tcPr>
            <w:tcW w:type="dxa" w:w="2556"/>
            <w:vAlign w:val="center"/>
          </w:tcPr>
          <w:p>
            <w:pPr>
              <w:spacing w:after="20"/>
            </w:pPr>
            <w:r>
              <w:rPr>
                <w:sz w:val="15"/>
              </w:rPr>
              <w:t>Investigate an algorithm for a research or industrial problem.</w:t>
            </w:r>
          </w:p>
        </w:tc>
        <w:tc>
          <w:tcPr>
            <w:tcW w:type="dxa" w:w="2556"/>
            <w:vAlign w:val="center"/>
          </w:tcPr>
          <w:p>
            <w:pPr>
              <w:spacing w:after="20"/>
            </w:pPr>
            <w:r>
              <w:rPr>
                <w:sz w:val="15"/>
              </w:rPr>
              <w:t>Implementation, parameter studies, simulation and benchmarking.</w:t>
            </w:r>
          </w:p>
        </w:tc>
        <w:tc>
          <w:tcPr>
            <w:tcW w:type="dxa" w:w="2556"/>
            <w:vAlign w:val="center"/>
          </w:tcPr>
          <w:p>
            <w:pPr>
              <w:spacing w:after="20"/>
            </w:pPr>
            <w:r>
              <w:rPr>
                <w:sz w:val="15"/>
              </w:rPr>
              <w:t>Reproducible results and comparison against a defined baseline.</w:t>
            </w:r>
          </w:p>
        </w:tc>
      </w:tr>
      <w:tr>
        <w:tc>
          <w:tcPr>
            <w:tcW w:type="dxa" w:w="2556"/>
            <w:vAlign w:val="center"/>
          </w:tcPr>
          <w:p>
            <w:pPr>
              <w:spacing w:after="20"/>
            </w:pPr>
            <w:r>
              <w:rPr>
                <w:sz w:val="15"/>
              </w:rPr>
              <w:t>Post-quantum cryptography (PQC)</w:t>
            </w:r>
          </w:p>
        </w:tc>
        <w:tc>
          <w:tcPr>
            <w:tcW w:type="dxa" w:w="2556"/>
            <w:vAlign w:val="center"/>
          </w:tcPr>
          <w:p>
            <w:pPr>
              <w:spacing w:after="20"/>
            </w:pPr>
            <w:r>
              <w:rPr>
                <w:sz w:val="15"/>
              </w:rPr>
              <w:t>Evaluate quantum-resistant cryptography migration and operational impact.</w:t>
            </w:r>
          </w:p>
        </w:tc>
        <w:tc>
          <w:tcPr>
            <w:tcW w:type="dxa" w:w="2556"/>
            <w:vAlign w:val="center"/>
          </w:tcPr>
          <w:p>
            <w:pPr>
              <w:spacing w:after="20"/>
            </w:pPr>
            <w:r>
              <w:rPr>
                <w:sz w:val="15"/>
              </w:rPr>
              <w:t>Test key establishment, signatures, protocol integration, latency, throughput and interoperability.</w:t>
            </w:r>
          </w:p>
        </w:tc>
        <w:tc>
          <w:tcPr>
            <w:tcW w:type="dxa" w:w="2556"/>
            <w:vAlign w:val="center"/>
          </w:tcPr>
          <w:p>
            <w:pPr>
              <w:spacing w:after="20"/>
            </w:pPr>
            <w:r>
              <w:rPr>
                <w:sz w:val="15"/>
              </w:rPr>
              <w:t>Performance, compatibility and migration evidence.</w:t>
            </w:r>
          </w:p>
        </w:tc>
      </w:tr>
      <w:tr>
        <w:tc>
          <w:tcPr>
            <w:tcW w:type="dxa" w:w="2556"/>
            <w:vAlign w:val="center"/>
          </w:tcPr>
          <w:p>
            <w:pPr>
              <w:spacing w:after="20"/>
            </w:pPr>
            <w:r>
              <w:rPr>
                <w:sz w:val="15"/>
              </w:rPr>
              <w:t>Quantum communication</w:t>
            </w:r>
          </w:p>
        </w:tc>
        <w:tc>
          <w:tcPr>
            <w:tcW w:type="dxa" w:w="2556"/>
            <w:vAlign w:val="center"/>
          </w:tcPr>
          <w:p>
            <w:pPr>
              <w:spacing w:after="20"/>
            </w:pPr>
            <w:r>
              <w:rPr>
                <w:sz w:val="15"/>
              </w:rPr>
              <w:t>Explore architectures and quantum-network behaviour.</w:t>
            </w:r>
          </w:p>
        </w:tc>
        <w:tc>
          <w:tcPr>
            <w:tcW w:type="dxa" w:w="2556"/>
            <w:vAlign w:val="center"/>
          </w:tcPr>
          <w:p>
            <w:pPr>
              <w:spacing w:after="20"/>
            </w:pPr>
            <w:r>
              <w:rPr>
                <w:sz w:val="15"/>
              </w:rPr>
              <w:t>Model entanglement distribution, link loss, synchronisation and communication scenarios.</w:t>
            </w:r>
          </w:p>
        </w:tc>
        <w:tc>
          <w:tcPr>
            <w:tcW w:type="dxa" w:w="2556"/>
            <w:vAlign w:val="center"/>
          </w:tcPr>
          <w:p>
            <w:pPr>
              <w:spacing w:after="20"/>
            </w:pPr>
            <w:r>
              <w:rPr>
                <w:sz w:val="15"/>
              </w:rPr>
              <w:t>Repeatable scenarios, network metrics and documented limitations.</w:t>
            </w:r>
          </w:p>
        </w:tc>
      </w:tr>
      <w:tr>
        <w:tc>
          <w:tcPr>
            <w:tcW w:type="dxa" w:w="2556"/>
            <w:vAlign w:val="center"/>
          </w:tcPr>
          <w:p>
            <w:pPr>
              <w:spacing w:after="20"/>
            </w:pPr>
            <w:r>
              <w:rPr>
                <w:sz w:val="15"/>
              </w:rPr>
              <w:t>Quantum network emulation</w:t>
            </w:r>
          </w:p>
        </w:tc>
        <w:tc>
          <w:tcPr>
            <w:tcW w:type="dxa" w:w="2556"/>
            <w:vAlign w:val="center"/>
          </w:tcPr>
          <w:p>
            <w:pPr>
              <w:spacing w:after="20"/>
            </w:pPr>
            <w:r>
              <w:rPr>
                <w:sz w:val="15"/>
              </w:rPr>
              <w:t>Explore network designs before investing in physical infrastructure.</w:t>
            </w:r>
          </w:p>
        </w:tc>
        <w:tc>
          <w:tcPr>
            <w:tcW w:type="dxa" w:w="2556"/>
            <w:vAlign w:val="center"/>
          </w:tcPr>
          <w:p>
            <w:pPr>
              <w:spacing w:after="20"/>
            </w:pPr>
            <w:r>
              <w:rPr>
                <w:sz w:val="15"/>
              </w:rPr>
              <w:t>Model topologies, nodes, links, noise, loss, latency and resource constraints.</w:t>
            </w:r>
          </w:p>
        </w:tc>
        <w:tc>
          <w:tcPr>
            <w:tcW w:type="dxa" w:w="2556"/>
            <w:vAlign w:val="center"/>
          </w:tcPr>
          <w:p>
            <w:pPr>
              <w:spacing w:after="20"/>
            </w:pPr>
            <w:r>
              <w:rPr>
                <w:sz w:val="15"/>
              </w:rPr>
              <w:t>Scenario results and architecture recommendations.</w:t>
            </w:r>
          </w:p>
        </w:tc>
      </w:tr>
      <w:tr>
        <w:tc>
          <w:tcPr>
            <w:tcW w:type="dxa" w:w="2556"/>
            <w:vAlign w:val="center"/>
          </w:tcPr>
          <w:p>
            <w:pPr>
              <w:spacing w:after="20"/>
            </w:pPr>
            <w:r>
              <w:rPr>
                <w:sz w:val="15"/>
              </w:rPr>
              <w:t>Quantum error correction</w:t>
            </w:r>
          </w:p>
        </w:tc>
        <w:tc>
          <w:tcPr>
            <w:tcW w:type="dxa" w:w="2556"/>
            <w:vAlign w:val="center"/>
          </w:tcPr>
          <w:p>
            <w:pPr>
              <w:spacing w:after="20"/>
            </w:pPr>
            <w:r>
              <w:rPr>
                <w:sz w:val="15"/>
              </w:rPr>
              <w:t>Study reliability, error mitigation and resource overhead.</w:t>
            </w:r>
          </w:p>
        </w:tc>
        <w:tc>
          <w:tcPr>
            <w:tcW w:type="dxa" w:w="2556"/>
            <w:vAlign w:val="center"/>
          </w:tcPr>
          <w:p>
            <w:pPr>
              <w:spacing w:after="20"/>
            </w:pPr>
            <w:r>
              <w:rPr>
                <w:sz w:val="15"/>
              </w:rPr>
              <w:t>Simulate noise models and compare correction or mitigation approaches.</w:t>
            </w:r>
          </w:p>
        </w:tc>
        <w:tc>
          <w:tcPr>
            <w:tcW w:type="dxa" w:w="2556"/>
            <w:vAlign w:val="center"/>
          </w:tcPr>
          <w:p>
            <w:pPr>
              <w:spacing w:after="20"/>
            </w:pPr>
            <w:r>
              <w:rPr>
                <w:sz w:val="15"/>
              </w:rPr>
              <w:t>Error rates, overhead estimates and simulation evidence.</w:t>
            </w:r>
          </w:p>
        </w:tc>
      </w:tr>
      <w:tr>
        <w:tc>
          <w:tcPr>
            <w:tcW w:type="dxa" w:w="2556"/>
            <w:vAlign w:val="center"/>
          </w:tcPr>
          <w:p>
            <w:pPr>
              <w:spacing w:after="20"/>
            </w:pPr>
            <w:r>
              <w:rPr>
                <w:sz w:val="15"/>
              </w:rPr>
              <w:t>Hybrid quantum-classical computing</w:t>
            </w:r>
          </w:p>
        </w:tc>
        <w:tc>
          <w:tcPr>
            <w:tcW w:type="dxa" w:w="2556"/>
            <w:vAlign w:val="center"/>
          </w:tcPr>
          <w:p>
            <w:pPr>
              <w:spacing w:after="20"/>
            </w:pPr>
            <w:r>
              <w:rPr>
                <w:sz w:val="15"/>
              </w:rPr>
              <w:t>Evaluate coordination between classical and quantum stages.</w:t>
            </w:r>
          </w:p>
        </w:tc>
        <w:tc>
          <w:tcPr>
            <w:tcW w:type="dxa" w:w="2556"/>
            <w:vAlign w:val="center"/>
          </w:tcPr>
          <w:p>
            <w:pPr>
              <w:spacing w:after="20"/>
            </w:pPr>
            <w:r>
              <w:rPr>
                <w:sz w:val="15"/>
              </w:rPr>
              <w:t>Task partitioning, orchestration, fallback and supported quantum execution.</w:t>
            </w:r>
          </w:p>
        </w:tc>
        <w:tc>
          <w:tcPr>
            <w:tcW w:type="dxa" w:w="2556"/>
            <w:vAlign w:val="center"/>
          </w:tcPr>
          <w:p>
            <w:pPr>
              <w:spacing w:after="20"/>
            </w:pPr>
            <w:r>
              <w:rPr>
                <w:sz w:val="15"/>
              </w:rPr>
              <w:t>End-to-end workflow behaviour and baseline comparison.</w:t>
            </w:r>
          </w:p>
        </w:tc>
      </w:tr>
      <w:tr>
        <w:tc>
          <w:tcPr>
            <w:tcW w:type="dxa" w:w="2556"/>
            <w:vAlign w:val="center"/>
          </w:tcPr>
          <w:p>
            <w:pPr>
              <w:spacing w:after="20"/>
            </w:pPr>
            <w:r>
              <w:rPr>
                <w:sz w:val="15"/>
              </w:rPr>
              <w:t>Quantum sensing and measurement</w:t>
            </w:r>
          </w:p>
        </w:tc>
        <w:tc>
          <w:tcPr>
            <w:tcW w:type="dxa" w:w="2556"/>
            <w:vAlign w:val="center"/>
          </w:tcPr>
          <w:p>
            <w:pPr>
              <w:spacing w:after="20"/>
            </w:pPr>
            <w:r>
              <w:rPr>
                <w:sz w:val="15"/>
              </w:rPr>
              <w:t>Investigate potential improvements to measurement tasks.</w:t>
            </w:r>
          </w:p>
        </w:tc>
        <w:tc>
          <w:tcPr>
            <w:tcW w:type="dxa" w:w="2556"/>
            <w:vAlign w:val="center"/>
          </w:tcPr>
          <w:p>
            <w:pPr>
              <w:spacing w:after="20"/>
            </w:pPr>
            <w:r>
              <w:rPr>
                <w:sz w:val="15"/>
              </w:rPr>
              <w:t>Model sensor behaviour, noise, calibration and signal processing.</w:t>
            </w:r>
          </w:p>
        </w:tc>
        <w:tc>
          <w:tcPr>
            <w:tcW w:type="dxa" w:w="2556"/>
            <w:vAlign w:val="center"/>
          </w:tcPr>
          <w:p>
            <w:pPr>
              <w:spacing w:after="20"/>
            </w:pPr>
            <w:r>
              <w:rPr>
                <w:sz w:val="15"/>
              </w:rPr>
              <w:t>Sensitivity estimates, uncertainty and conventional baseline comparison.</w:t>
            </w:r>
          </w:p>
        </w:tc>
      </w:tr>
      <w:tr>
        <w:tc>
          <w:tcPr>
            <w:tcW w:type="dxa" w:w="2556"/>
            <w:vAlign w:val="center"/>
          </w:tcPr>
          <w:p>
            <w:pPr>
              <w:spacing w:after="20"/>
            </w:pPr>
            <w:r>
              <w:rPr>
                <w:sz w:val="15"/>
              </w:rPr>
              <w:t>Quantum communications security</w:t>
            </w:r>
          </w:p>
        </w:tc>
        <w:tc>
          <w:tcPr>
            <w:tcW w:type="dxa" w:w="2556"/>
            <w:vAlign w:val="center"/>
          </w:tcPr>
          <w:p>
            <w:pPr>
              <w:spacing w:after="20"/>
            </w:pPr>
            <w:r>
              <w:rPr>
                <w:sz w:val="15"/>
              </w:rPr>
              <w:t>Evaluate security architecture and future communications options.</w:t>
            </w:r>
          </w:p>
        </w:tc>
        <w:tc>
          <w:tcPr>
            <w:tcW w:type="dxa" w:w="2556"/>
            <w:vAlign w:val="center"/>
          </w:tcPr>
          <w:p>
            <w:pPr>
              <w:spacing w:after="20"/>
            </w:pPr>
            <w:r>
              <w:rPr>
                <w:sz w:val="15"/>
              </w:rPr>
              <w:t>PQC integration, key management, hybrid protocols and supported QKD-related experiments.</w:t>
            </w:r>
          </w:p>
        </w:tc>
        <w:tc>
          <w:tcPr>
            <w:tcW w:type="dxa" w:w="2556"/>
            <w:vAlign w:val="center"/>
          </w:tcPr>
          <w:p>
            <w:pPr>
              <w:spacing w:after="20"/>
            </w:pPr>
            <w:r>
              <w:rPr>
                <w:sz w:val="15"/>
              </w:rPr>
              <w:t>Interoperability, performance and security-design evidence.</w:t>
            </w:r>
          </w:p>
        </w:tc>
      </w:tr>
      <w:tr>
        <w:tc>
          <w:tcPr>
            <w:tcW w:type="dxa" w:w="2556"/>
            <w:vAlign w:val="center"/>
          </w:tcPr>
          <w:p>
            <w:pPr>
              <w:spacing w:after="20"/>
            </w:pPr>
            <w:r>
              <w:rPr>
                <w:sz w:val="15"/>
              </w:rPr>
              <w:t>Digital twins and CPS optimisation</w:t>
            </w:r>
          </w:p>
        </w:tc>
        <w:tc>
          <w:tcPr>
            <w:tcW w:type="dxa" w:w="2556"/>
            <w:vAlign w:val="center"/>
          </w:tcPr>
          <w:p>
            <w:pPr>
              <w:spacing w:after="20"/>
            </w:pPr>
            <w:r>
              <w:rPr>
                <w:sz w:val="15"/>
              </w:rPr>
              <w:t>Improve a cyber-physical system through simulation and optimisation.</w:t>
            </w:r>
          </w:p>
        </w:tc>
        <w:tc>
          <w:tcPr>
            <w:tcW w:type="dxa" w:w="2556"/>
            <w:vAlign w:val="center"/>
          </w:tcPr>
          <w:p>
            <w:pPr>
              <w:spacing w:after="20"/>
            </w:pPr>
            <w:r>
              <w:rPr>
                <w:sz w:val="15"/>
              </w:rPr>
              <w:t>Virtual asset modelling, scenario simulation and constrained optimisation.</w:t>
            </w:r>
          </w:p>
        </w:tc>
        <w:tc>
          <w:tcPr>
            <w:tcW w:type="dxa" w:w="2556"/>
            <w:vAlign w:val="center"/>
          </w:tcPr>
          <w:p>
            <w:pPr>
              <w:spacing w:after="20"/>
            </w:pPr>
            <w:r>
              <w:rPr>
                <w:sz w:val="15"/>
              </w:rPr>
              <w:t>Operational metrics, model validity and measured baseline comparison.</w:t>
            </w:r>
          </w:p>
        </w:tc>
      </w:tr>
      <w:tr>
        <w:tc>
          <w:tcPr>
            <w:tcW w:type="dxa" w:w="2556"/>
            <w:vAlign w:val="center"/>
          </w:tcPr>
          <w:p>
            <w:pPr>
              <w:spacing w:after="20"/>
            </w:pPr>
            <w:r>
              <w:rPr>
                <w:sz w:val="15"/>
              </w:rPr>
              <w:t>Quantum education and research</w:t>
            </w:r>
          </w:p>
        </w:tc>
        <w:tc>
          <w:tcPr>
            <w:tcW w:type="dxa" w:w="2556"/>
            <w:vAlign w:val="center"/>
          </w:tcPr>
          <w:p>
            <w:pPr>
              <w:spacing w:after="20"/>
            </w:pPr>
            <w:r>
              <w:rPr>
                <w:sz w:val="15"/>
              </w:rPr>
              <w:t>Build capability before investing in advanced infrastructure.</w:t>
            </w:r>
          </w:p>
        </w:tc>
        <w:tc>
          <w:tcPr>
            <w:tcW w:type="dxa" w:w="2556"/>
            <w:vAlign w:val="center"/>
          </w:tcPr>
          <w:p>
            <w:pPr>
              <w:spacing w:after="20"/>
            </w:pPr>
            <w:r>
              <w:rPr>
                <w:sz w:val="15"/>
              </w:rPr>
              <w:t>Guided notebooks, emulators, algorithm exercises and research workflows.</w:t>
            </w:r>
          </w:p>
        </w:tc>
        <w:tc>
          <w:tcPr>
            <w:tcW w:type="dxa" w:w="2556"/>
            <w:vAlign w:val="center"/>
          </w:tcPr>
          <w:p>
            <w:pPr>
              <w:spacing w:after="20"/>
            </w:pPr>
            <w:r>
              <w:rPr>
                <w:sz w:val="15"/>
              </w:rPr>
              <w:t>Reproducible work, completed experiments and researcher readiness.</w:t>
            </w:r>
          </w:p>
        </w:tc>
      </w:tr>
      <w:tr>
        <w:tc>
          <w:tcPr>
            <w:tcW w:type="dxa" w:w="2556"/>
            <w:vAlign w:val="center"/>
          </w:tcPr>
          <w:p>
            <w:pPr>
              <w:spacing w:after="20"/>
            </w:pPr>
            <w:r>
              <w:rPr>
                <w:sz w:val="15"/>
              </w:rPr>
              <w:t>QAI adoption assessment</w:t>
            </w:r>
          </w:p>
        </w:tc>
        <w:tc>
          <w:tcPr>
            <w:tcW w:type="dxa" w:w="2556"/>
            <w:vAlign w:val="center"/>
          </w:tcPr>
          <w:p>
            <w:pPr>
              <w:spacing w:after="20"/>
            </w:pPr>
            <w:r>
              <w:rPr>
                <w:sz w:val="15"/>
              </w:rPr>
              <w:t>Decide whether and how to adopt QAI.</w:t>
            </w:r>
          </w:p>
        </w:tc>
        <w:tc>
          <w:tcPr>
            <w:tcW w:type="dxa" w:w="2556"/>
            <w:vAlign w:val="center"/>
          </w:tcPr>
          <w:p>
            <w:pPr>
              <w:spacing w:after="20"/>
            </w:pPr>
            <w:r>
              <w:rPr>
                <w:sz w:val="15"/>
              </w:rPr>
              <w:t>Workload assessment, feasibility analysis, architecture design and pilot planning.</w:t>
            </w:r>
          </w:p>
        </w:tc>
        <w:tc>
          <w:tcPr>
            <w:tcW w:type="dxa" w:w="2556"/>
            <w:vAlign w:val="center"/>
          </w:tcPr>
          <w:p>
            <w:pPr>
              <w:spacing w:after="20"/>
            </w:pPr>
            <w:r>
              <w:rPr>
                <w:sz w:val="15"/>
              </w:rPr>
              <w:t>Prioritised opportunities, costs, risks and an adoption roadmap.</w:t>
            </w:r>
          </w:p>
        </w:tc>
      </w:tr>
    </w:tbl>
    <w:p/>
    <w:p>
      <w:r>
        <w:t>Terminology note: PQC uses classical cryptographic algorithms designed to resist attacks by quantum computers. Quantum communication concerns quantum information or quantum-enabled communication techniques. They are related strategic areas but require different experiments, products and acceptance criteria.</w:t>
      </w:r>
    </w:p>
    <w:p>
      <w:pPr>
        <w:pStyle w:val="Heading1"/>
      </w:pPr>
      <w:r>
        <w:t>3. Three-Dimensional Commercial Configuration</w:t>
      </w:r>
    </w:p>
    <w:p>
      <w:pPr>
        <w:pStyle w:val="Heading2"/>
      </w:pPr>
      <w:r>
        <w:t>Dimension A — Client objective</w:t>
      </w:r>
    </w:p>
    <w:p>
      <w:pPr>
        <w:pStyle w:val="ListBullet"/>
      </w:pPr>
      <w:r>
        <w:t>Explore quantum computing or benchmark an algorithm.</w:t>
      </w:r>
    </w:p>
    <w:p>
      <w:pPr>
        <w:pStyle w:val="ListBullet"/>
      </w:pPr>
      <w:r>
        <w:t>Evaluate PQC migration and integration.</w:t>
      </w:r>
    </w:p>
    <w:p>
      <w:pPr>
        <w:pStyle w:val="ListBullet"/>
      </w:pPr>
      <w:r>
        <w:t>Emulate a quantum network or study entanglement distribution.</w:t>
      </w:r>
    </w:p>
    <w:p>
      <w:pPr>
        <w:pStyle w:val="ListBullet"/>
      </w:pPr>
      <w:r>
        <w:t>Investigate quantum error correction or hybrid workflows.</w:t>
      </w:r>
    </w:p>
    <w:p>
      <w:pPr>
        <w:pStyle w:val="ListBullet"/>
      </w:pPr>
      <w:r>
        <w:t>Optimise a digital twin or cyber-physical system.</w:t>
      </w:r>
    </w:p>
    <w:p>
      <w:pPr>
        <w:pStyle w:val="ListBullet"/>
      </w:pPr>
      <w:r>
        <w:t>Assess QAI readiness and define an adoption roadmap.</w:t>
      </w:r>
    </w:p>
    <w:p>
      <w:pPr>
        <w:pStyle w:val="Heading2"/>
      </w:pPr>
      <w:r>
        <w:t>Dimension B — Required capabilities</w:t>
      </w:r>
    </w:p>
    <w:p>
      <w:pPr>
        <w:pStyle w:val="ListBullet"/>
      </w:pPr>
      <w:r>
        <w:t>Classical computing and baseline benchmarking.</w:t>
      </w:r>
    </w:p>
    <w:p>
      <w:pPr>
        <w:pStyle w:val="ListBullet"/>
      </w:pPr>
      <w:r>
        <w:t>Quantum simulation and emulation.</w:t>
      </w:r>
    </w:p>
    <w:p>
      <w:pPr>
        <w:pStyle w:val="ListBullet"/>
      </w:pPr>
      <w:r>
        <w:t>Supported quantum hardware or cloud-QPU connector.</w:t>
      </w:r>
    </w:p>
    <w:p>
      <w:pPr>
        <w:pStyle w:val="ListBullet"/>
      </w:pPr>
      <w:r>
        <w:t>Hybrid quantum-classical orchestration.</w:t>
      </w:r>
    </w:p>
    <w:p>
      <w:pPr>
        <w:pStyle w:val="ListBullet"/>
      </w:pPr>
      <w:r>
        <w:t>PQC algorithm and protocol testing.</w:t>
      </w:r>
    </w:p>
    <w:p>
      <w:pPr>
        <w:pStyle w:val="ListBullet"/>
      </w:pPr>
      <w:r>
        <w:t>Quantum-network modelling and emulation; entanglement-related modelling.</w:t>
      </w:r>
    </w:p>
    <w:p>
      <w:pPr>
        <w:pStyle w:val="ListBullet"/>
      </w:pPr>
      <w:r>
        <w:t>Experiment management, reproducibility and evidence capture.</w:t>
      </w:r>
    </w:p>
    <w:p>
      <w:pPr>
        <w:pStyle w:val="ListBullet"/>
      </w:pPr>
      <w:r>
        <w:t>Security, governance and data-handling controls.</w:t>
      </w:r>
    </w:p>
    <w:p>
      <w:pPr>
        <w:pStyle w:val="Heading2"/>
      </w:pPr>
      <w:r>
        <w:t>Dimension C — Delivery environment</w:t>
      </w:r>
    </w:p>
    <w:p>
      <w:pPr>
        <w:pStyle w:val="ListBullet"/>
      </w:pPr>
      <w:r>
        <w:t>Browser-based QAI Lab or research workspace.</w:t>
      </w:r>
    </w:p>
    <w:p>
      <w:pPr>
        <w:pStyle w:val="ListBullet"/>
      </w:pPr>
      <w:r>
        <w:t>Research workstation or virtual desktop.</w:t>
      </w:r>
    </w:p>
    <w:p>
      <w:pPr>
        <w:pStyle w:val="ListBullet"/>
      </w:pPr>
      <w:r>
        <w:t>Client-owned server or bare-metal environment.</w:t>
      </w:r>
    </w:p>
    <w:p>
      <w:pPr>
        <w:pStyle w:val="ListBullet"/>
      </w:pPr>
      <w:r>
        <w:t>University or research cluster; cloud or HPC infrastructure.</w:t>
      </w:r>
    </w:p>
    <w:p>
      <w:pPr>
        <w:pStyle w:val="ListBullet"/>
      </w:pPr>
      <w:r>
        <w:t>Supported third-party quantum computing service.</w:t>
      </w:r>
    </w:p>
    <w:p>
      <w:pPr>
        <w:pStyle w:val="ListBullet"/>
      </w:pPr>
      <w:r>
        <w:t>Dedicated, confidential or hybrid client environment.</w:t>
      </w:r>
    </w:p>
    <w:p>
      <w:pPr>
        <w:pStyle w:val="ListBullet"/>
      </w:pPr>
      <w:r>
        <w:t>Custom deployment across multiple environments.</w:t>
      </w:r>
    </w:p>
    <w:p>
      <w:r>
        <w:t>Configuration logic: the client selects an objective; technical assessment identifies capabilities; the delivery model determines where and how the solution is executed. OS, accelerator, QPU and network compatibility must be verified rather than assumed.</w:t>
      </w:r>
    </w:p>
    <w:p>
      <w:pPr>
        <w:pStyle w:val="Heading1"/>
      </w:pPr>
      <w:r>
        <w:t>4. Proposed Commercial SKU Structure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CFE2F3"/>
          </w:tcPr>
          <w:p>
            <w:pPr>
              <w:spacing w:after="20"/>
            </w:pPr>
            <w:r>
              <w:rPr>
                <w:b/>
                <w:sz w:val="15"/>
              </w:rPr>
              <w:t>Level</w:t>
            </w:r>
          </w:p>
        </w:tc>
        <w:tc>
          <w:tcPr>
            <w:tcW w:type="dxa" w:w="2556"/>
            <w:shd w:fill="CFE2F3"/>
          </w:tcPr>
          <w:p>
            <w:pPr>
              <w:spacing w:after="20"/>
            </w:pPr>
            <w:r>
              <w:rPr>
                <w:b/>
                <w:sz w:val="15"/>
              </w:rPr>
              <w:t>SKU class</w:t>
            </w:r>
          </w:p>
        </w:tc>
        <w:tc>
          <w:tcPr>
            <w:tcW w:type="dxa" w:w="2556"/>
            <w:shd w:fill="CFE2F3"/>
          </w:tcPr>
          <w:p>
            <w:pPr>
              <w:spacing w:after="20"/>
            </w:pPr>
            <w:r>
              <w:rPr>
                <w:b/>
                <w:sz w:val="15"/>
              </w:rPr>
              <w:t>Purpose</w:t>
            </w:r>
          </w:p>
        </w:tc>
        <w:tc>
          <w:tcPr>
            <w:tcW w:type="dxa" w:w="2556"/>
            <w:shd w:fill="CFE2F3"/>
          </w:tcPr>
          <w:p>
            <w:pPr>
              <w:spacing w:after="20"/>
            </w:pPr>
            <w:r>
              <w:rPr>
                <w:b/>
                <w:sz w:val="15"/>
              </w:rPr>
              <w:t>Purchasing approach</w:t>
            </w:r>
          </w:p>
        </w:tc>
      </w:tr>
      <w:tr>
        <w:tc>
          <w:tcPr>
            <w:tcW w:type="dxa" w:w="2556"/>
            <w:vAlign w:val="center"/>
          </w:tcPr>
          <w:p>
            <w:pPr>
              <w:spacing w:after="20"/>
            </w:pPr>
            <w:r>
              <w:rPr>
                <w:sz w:val="15"/>
              </w:rPr>
              <w:t>1</w:t>
            </w:r>
          </w:p>
        </w:tc>
        <w:tc>
          <w:tcPr>
            <w:tcW w:type="dxa" w:w="2556"/>
            <w:vAlign w:val="center"/>
          </w:tcPr>
          <w:p>
            <w:pPr>
              <w:spacing w:after="20"/>
            </w:pPr>
            <w:r>
              <w:rPr>
                <w:sz w:val="15"/>
              </w:rPr>
              <w:t>QAI Objective SKUs</w:t>
            </w:r>
          </w:p>
        </w:tc>
        <w:tc>
          <w:tcPr>
            <w:tcW w:type="dxa" w:w="2556"/>
            <w:vAlign w:val="center"/>
          </w:tcPr>
          <w:p>
            <w:pPr>
              <w:spacing w:after="20"/>
            </w:pPr>
            <w:r>
              <w:rPr>
                <w:sz w:val="15"/>
              </w:rPr>
              <w:t>Address a defined client problem or experiment.</w:t>
            </w:r>
          </w:p>
        </w:tc>
        <w:tc>
          <w:tcPr>
            <w:tcW w:type="dxa" w:w="2556"/>
            <w:vAlign w:val="center"/>
          </w:tcPr>
          <w:p>
            <w:pPr>
              <w:spacing w:after="20"/>
            </w:pPr>
            <w:r>
              <w:rPr>
                <w:sz w:val="15"/>
              </w:rPr>
              <w:t>Select a use case.</w:t>
            </w:r>
          </w:p>
        </w:tc>
      </w:tr>
      <w:tr>
        <w:tc>
          <w:tcPr>
            <w:tcW w:type="dxa" w:w="2556"/>
            <w:vAlign w:val="center"/>
          </w:tcPr>
          <w:p>
            <w:pPr>
              <w:spacing w:after="20"/>
            </w:pPr>
            <w:r>
              <w:rPr>
                <w:sz w:val="15"/>
              </w:rPr>
              <w:t>2</w:t>
            </w:r>
          </w:p>
        </w:tc>
        <w:tc>
          <w:tcPr>
            <w:tcW w:type="dxa" w:w="2556"/>
            <w:vAlign w:val="center"/>
          </w:tcPr>
          <w:p>
            <w:pPr>
              <w:spacing w:after="20"/>
            </w:pPr>
            <w:r>
              <w:rPr>
                <w:sz w:val="15"/>
              </w:rPr>
              <w:t>QAI Capability SKUs</w:t>
            </w:r>
          </w:p>
        </w:tc>
        <w:tc>
          <w:tcPr>
            <w:tcW w:type="dxa" w:w="2556"/>
            <w:vAlign w:val="center"/>
          </w:tcPr>
          <w:p>
            <w:pPr>
              <w:spacing w:after="20"/>
            </w:pPr>
            <w:r>
              <w:rPr>
                <w:sz w:val="15"/>
              </w:rPr>
              <w:t>Provide reusable technical capabilities.</w:t>
            </w:r>
          </w:p>
        </w:tc>
        <w:tc>
          <w:tcPr>
            <w:tcW w:type="dxa" w:w="2556"/>
            <w:vAlign w:val="center"/>
          </w:tcPr>
          <w:p>
            <w:pPr>
              <w:spacing w:after="20"/>
            </w:pPr>
            <w:r>
              <w:rPr>
                <w:sz w:val="15"/>
              </w:rPr>
              <w:t>Add or combine modules.</w:t>
            </w:r>
          </w:p>
        </w:tc>
      </w:tr>
      <w:tr>
        <w:tc>
          <w:tcPr>
            <w:tcW w:type="dxa" w:w="2556"/>
            <w:vAlign w:val="center"/>
          </w:tcPr>
          <w:p>
            <w:pPr>
              <w:spacing w:after="20"/>
            </w:pPr>
            <w:r>
              <w:rPr>
                <w:sz w:val="15"/>
              </w:rPr>
              <w:t>3</w:t>
            </w:r>
          </w:p>
        </w:tc>
        <w:tc>
          <w:tcPr>
            <w:tcW w:type="dxa" w:w="2556"/>
            <w:vAlign w:val="center"/>
          </w:tcPr>
          <w:p>
            <w:pPr>
              <w:spacing w:after="20"/>
            </w:pPr>
            <w:r>
              <w:rPr>
                <w:sz w:val="15"/>
              </w:rPr>
              <w:t>QAI Environment SKUs</w:t>
            </w:r>
          </w:p>
        </w:tc>
        <w:tc>
          <w:tcPr>
            <w:tcW w:type="dxa" w:w="2556"/>
            <w:vAlign w:val="center"/>
          </w:tcPr>
          <w:p>
            <w:pPr>
              <w:spacing w:after="20"/>
            </w:pPr>
            <w:r>
              <w:rPr>
                <w:sz w:val="15"/>
              </w:rPr>
              <w:t>Specify access and execution environment.</w:t>
            </w:r>
          </w:p>
        </w:tc>
        <w:tc>
          <w:tcPr>
            <w:tcW w:type="dxa" w:w="2556"/>
            <w:vAlign w:val="center"/>
          </w:tcPr>
          <w:p>
            <w:pPr>
              <w:spacing w:after="20"/>
            </w:pPr>
            <w:r>
              <w:rPr>
                <w:sz w:val="15"/>
              </w:rPr>
              <w:t>Select workstation, lab, server, cloud or specialised infrastructure.</w:t>
            </w:r>
          </w:p>
        </w:tc>
      </w:tr>
      <w:tr>
        <w:tc>
          <w:tcPr>
            <w:tcW w:type="dxa" w:w="2556"/>
            <w:vAlign w:val="center"/>
          </w:tcPr>
          <w:p>
            <w:pPr>
              <w:spacing w:after="20"/>
            </w:pPr>
            <w:r>
              <w:rPr>
                <w:sz w:val="15"/>
              </w:rPr>
              <w:t>4</w:t>
            </w:r>
          </w:p>
        </w:tc>
        <w:tc>
          <w:tcPr>
            <w:tcW w:type="dxa" w:w="2556"/>
            <w:vAlign w:val="center"/>
          </w:tcPr>
          <w:p>
            <w:pPr>
              <w:spacing w:after="20"/>
            </w:pPr>
            <w:r>
              <w:rPr>
                <w:sz w:val="15"/>
              </w:rPr>
              <w:t>QAI Custom Solution SKU</w:t>
            </w:r>
          </w:p>
        </w:tc>
        <w:tc>
          <w:tcPr>
            <w:tcW w:type="dxa" w:w="2556"/>
            <w:vAlign w:val="center"/>
          </w:tcPr>
          <w:p>
            <w:pPr>
              <w:spacing w:after="20"/>
            </w:pPr>
            <w:r>
              <w:rPr>
                <w:sz w:val="15"/>
              </w:rPr>
              <w:t>Integrated solution for unique requirements.</w:t>
            </w:r>
          </w:p>
        </w:tc>
        <w:tc>
          <w:tcPr>
            <w:tcW w:type="dxa" w:w="2556"/>
            <w:vAlign w:val="center"/>
          </w:tcPr>
          <w:p>
            <w:pPr>
              <w:spacing w:after="20"/>
            </w:pPr>
            <w:r>
              <w:rPr>
                <w:sz w:val="15"/>
              </w:rPr>
              <w:t>Submit requirements for assessment and tailored proposal.</w:t>
            </w:r>
          </w:p>
        </w:tc>
      </w:tr>
    </w:tbl>
    <w:p/>
    <w:p>
      <w:pPr>
        <w:pStyle w:val="Heading2"/>
      </w:pPr>
      <w:r>
        <w:t>4.1 Illustrative Objective SKUs</w:t>
      </w:r>
    </w:p>
    <w:tbl>
      <w:tblPr>
        <w:tblStyle w:val="TableGrid"/>
        <w:tblW w:type="auto" w:w="0"/>
        <w:jc w:val="center"/>
        <w:tblLook w:firstColumn="1" w:firstRow="1" w:lastColumn="0" w:lastRow="0" w:noHBand="0" w:noVBand="1" w:val="04A0"/>
      </w:tblPr>
      <w:tblGrid>
        <w:gridCol w:w="5112"/>
        <w:gridCol w:w="5112"/>
      </w:tblGrid>
      <w:tr>
        <w:tc>
          <w:tcPr>
            <w:tcW w:type="dxa" w:w="5112"/>
            <w:shd w:fill="CFE2F3"/>
          </w:tcPr>
          <w:p>
            <w:pPr>
              <w:spacing w:after="20"/>
            </w:pPr>
            <w:r>
              <w:rPr>
                <w:b/>
                <w:sz w:val="15"/>
              </w:rPr>
              <w:t>Proposed SKU</w:t>
            </w:r>
          </w:p>
        </w:tc>
        <w:tc>
          <w:tcPr>
            <w:tcW w:type="dxa" w:w="5112"/>
            <w:shd w:fill="CFE2F3"/>
          </w:tcPr>
          <w:p>
            <w:pPr>
              <w:spacing w:after="20"/>
            </w:pPr>
            <w:r>
              <w:rPr>
                <w:b/>
                <w:sz w:val="15"/>
              </w:rPr>
              <w:t>Client objective</w:t>
            </w:r>
          </w:p>
        </w:tc>
      </w:tr>
      <w:tr>
        <w:tc>
          <w:tcPr>
            <w:tcW w:type="dxa" w:w="5112"/>
            <w:vAlign w:val="center"/>
          </w:tcPr>
          <w:p>
            <w:pPr>
              <w:spacing w:after="20"/>
            </w:pPr>
            <w:r>
              <w:rPr>
                <w:sz w:val="15"/>
              </w:rPr>
              <w:t>QAI-QC-EXPLORE</w:t>
            </w:r>
          </w:p>
        </w:tc>
        <w:tc>
          <w:tcPr>
            <w:tcW w:type="dxa" w:w="5112"/>
            <w:vAlign w:val="center"/>
          </w:tcPr>
          <w:p>
            <w:pPr>
              <w:spacing w:after="20"/>
            </w:pPr>
            <w:r>
              <w:rPr>
                <w:sz w:val="15"/>
              </w:rPr>
              <w:t>Explore quantum computing through guided experiments.</w:t>
            </w:r>
          </w:p>
        </w:tc>
      </w:tr>
      <w:tr>
        <w:tc>
          <w:tcPr>
            <w:tcW w:type="dxa" w:w="5112"/>
            <w:vAlign w:val="center"/>
          </w:tcPr>
          <w:p>
            <w:pPr>
              <w:spacing w:after="20"/>
            </w:pPr>
            <w:r>
              <w:rPr>
                <w:sz w:val="15"/>
              </w:rPr>
              <w:t>QAI-QC-BENCH</w:t>
            </w:r>
          </w:p>
        </w:tc>
        <w:tc>
          <w:tcPr>
            <w:tcW w:type="dxa" w:w="5112"/>
            <w:vAlign w:val="center"/>
          </w:tcPr>
          <w:p>
            <w:pPr>
              <w:spacing w:after="20"/>
            </w:pPr>
            <w:r>
              <w:rPr>
                <w:sz w:val="15"/>
              </w:rPr>
              <w:t>Benchmark a workload against classical and quantum approaches.</w:t>
            </w:r>
          </w:p>
        </w:tc>
      </w:tr>
      <w:tr>
        <w:tc>
          <w:tcPr>
            <w:tcW w:type="dxa" w:w="5112"/>
            <w:vAlign w:val="center"/>
          </w:tcPr>
          <w:p>
            <w:pPr>
              <w:spacing w:after="20"/>
            </w:pPr>
            <w:r>
              <w:rPr>
                <w:sz w:val="15"/>
              </w:rPr>
              <w:t>QAI-HYBRID-OPT</w:t>
            </w:r>
          </w:p>
        </w:tc>
        <w:tc>
          <w:tcPr>
            <w:tcW w:type="dxa" w:w="5112"/>
            <w:vAlign w:val="center"/>
          </w:tcPr>
          <w:p>
            <w:pPr>
              <w:spacing w:after="20"/>
            </w:pPr>
            <w:r>
              <w:rPr>
                <w:sz w:val="15"/>
              </w:rPr>
              <w:t>Investigate hybrid quantum-classical optimisation.</w:t>
            </w:r>
          </w:p>
        </w:tc>
      </w:tr>
      <w:tr>
        <w:tc>
          <w:tcPr>
            <w:tcW w:type="dxa" w:w="5112"/>
            <w:vAlign w:val="center"/>
          </w:tcPr>
          <w:p>
            <w:pPr>
              <w:spacing w:after="20"/>
            </w:pPr>
            <w:r>
              <w:rPr>
                <w:sz w:val="15"/>
              </w:rPr>
              <w:t>QAI-PQC-EVAL</w:t>
            </w:r>
          </w:p>
        </w:tc>
        <w:tc>
          <w:tcPr>
            <w:tcW w:type="dxa" w:w="5112"/>
            <w:vAlign w:val="center"/>
          </w:tcPr>
          <w:p>
            <w:pPr>
              <w:spacing w:after="20"/>
            </w:pPr>
            <w:r>
              <w:rPr>
                <w:sz w:val="15"/>
              </w:rPr>
              <w:t>Evaluate PQC algorithms and integration options.</w:t>
            </w:r>
          </w:p>
        </w:tc>
      </w:tr>
      <w:tr>
        <w:tc>
          <w:tcPr>
            <w:tcW w:type="dxa" w:w="5112"/>
            <w:vAlign w:val="center"/>
          </w:tcPr>
          <w:p>
            <w:pPr>
              <w:spacing w:after="20"/>
            </w:pPr>
            <w:r>
              <w:rPr>
                <w:sz w:val="15"/>
              </w:rPr>
              <w:t>QAI-QNET-EMUL</w:t>
            </w:r>
          </w:p>
        </w:tc>
        <w:tc>
          <w:tcPr>
            <w:tcW w:type="dxa" w:w="5112"/>
            <w:vAlign w:val="center"/>
          </w:tcPr>
          <w:p>
            <w:pPr>
              <w:spacing w:after="20"/>
            </w:pPr>
            <w:r>
              <w:rPr>
                <w:sz w:val="15"/>
              </w:rPr>
              <w:t>Emulate and analyse quantum-network scenarios.</w:t>
            </w:r>
          </w:p>
        </w:tc>
      </w:tr>
      <w:tr>
        <w:tc>
          <w:tcPr>
            <w:tcW w:type="dxa" w:w="5112"/>
            <w:vAlign w:val="center"/>
          </w:tcPr>
          <w:p>
            <w:pPr>
              <w:spacing w:after="20"/>
            </w:pPr>
            <w:r>
              <w:rPr>
                <w:sz w:val="15"/>
              </w:rPr>
              <w:t>QAI-ENTANGLE-LAB</w:t>
            </w:r>
          </w:p>
        </w:tc>
        <w:tc>
          <w:tcPr>
            <w:tcW w:type="dxa" w:w="5112"/>
            <w:vAlign w:val="center"/>
          </w:tcPr>
          <w:p>
            <w:pPr>
              <w:spacing w:after="20"/>
            </w:pPr>
            <w:r>
              <w:rPr>
                <w:sz w:val="15"/>
              </w:rPr>
              <w:t>Study entanglement-related models or experiments.</w:t>
            </w:r>
          </w:p>
        </w:tc>
      </w:tr>
      <w:tr>
        <w:tc>
          <w:tcPr>
            <w:tcW w:type="dxa" w:w="5112"/>
            <w:vAlign w:val="center"/>
          </w:tcPr>
          <w:p>
            <w:pPr>
              <w:spacing w:after="20"/>
            </w:pPr>
            <w:r>
              <w:rPr>
                <w:sz w:val="15"/>
              </w:rPr>
              <w:t>QAI-QEC-RESEARCH</w:t>
            </w:r>
          </w:p>
        </w:tc>
        <w:tc>
          <w:tcPr>
            <w:tcW w:type="dxa" w:w="5112"/>
            <w:vAlign w:val="center"/>
          </w:tcPr>
          <w:p>
            <w:pPr>
              <w:spacing w:after="20"/>
            </w:pPr>
            <w:r>
              <w:rPr>
                <w:sz w:val="15"/>
              </w:rPr>
              <w:t>Explore quantum error-correction approaches.</w:t>
            </w:r>
          </w:p>
        </w:tc>
      </w:tr>
      <w:tr>
        <w:tc>
          <w:tcPr>
            <w:tcW w:type="dxa" w:w="5112"/>
            <w:vAlign w:val="center"/>
          </w:tcPr>
          <w:p>
            <w:pPr>
              <w:spacing w:after="20"/>
            </w:pPr>
            <w:r>
              <w:rPr>
                <w:sz w:val="15"/>
              </w:rPr>
              <w:t>QAI-CPS-OPT</w:t>
            </w:r>
          </w:p>
        </w:tc>
        <w:tc>
          <w:tcPr>
            <w:tcW w:type="dxa" w:w="5112"/>
            <w:vAlign w:val="center"/>
          </w:tcPr>
          <w:p>
            <w:pPr>
              <w:spacing w:after="20"/>
            </w:pPr>
            <w:r>
              <w:rPr>
                <w:sz w:val="15"/>
              </w:rPr>
              <w:t>Experiment with CPS or digital-twin optimisation.</w:t>
            </w:r>
          </w:p>
        </w:tc>
      </w:tr>
      <w:tr>
        <w:tc>
          <w:tcPr>
            <w:tcW w:type="dxa" w:w="5112"/>
            <w:vAlign w:val="center"/>
          </w:tcPr>
          <w:p>
            <w:pPr>
              <w:spacing w:after="20"/>
            </w:pPr>
            <w:r>
              <w:rPr>
                <w:sz w:val="15"/>
              </w:rPr>
              <w:t>QAI-ADOPTION-ASSESS</w:t>
            </w:r>
          </w:p>
        </w:tc>
        <w:tc>
          <w:tcPr>
            <w:tcW w:type="dxa" w:w="5112"/>
            <w:vAlign w:val="center"/>
          </w:tcPr>
          <w:p>
            <w:pPr>
              <w:spacing w:after="20"/>
            </w:pPr>
            <w:r>
              <w:rPr>
                <w:sz w:val="15"/>
              </w:rPr>
              <w:t>Assess candidate workloads and develop an adoption roadmap.</w:t>
            </w:r>
          </w:p>
        </w:tc>
      </w:tr>
    </w:tbl>
    <w:p/>
    <w:p>
      <w:r>
        <w:t>These identifiers are proposed examples, not established SKU commitments. Reconcile them with the existing product catalogue before adoption.</w:t>
      </w:r>
    </w:p>
    <w:p>
      <w:pPr>
        <w:pStyle w:val="Heading2"/>
      </w:pPr>
      <w:r>
        <w:t>4.2 Capability SKUs</w:t>
      </w:r>
    </w:p>
    <w:tbl>
      <w:tblPr>
        <w:tblStyle w:val="TableGrid"/>
        <w:tblW w:type="auto" w:w="0"/>
        <w:jc w:val="center"/>
        <w:tblLook w:firstColumn="1" w:firstRow="1" w:lastColumn="0" w:lastRow="0" w:noHBand="0" w:noVBand="1" w:val="04A0"/>
      </w:tblPr>
      <w:tblGrid>
        <w:gridCol w:w="5112"/>
        <w:gridCol w:w="5112"/>
      </w:tblGrid>
      <w:tr>
        <w:tc>
          <w:tcPr>
            <w:tcW w:type="dxa" w:w="5112"/>
            <w:shd w:fill="CFE2F3"/>
          </w:tcPr>
          <w:p>
            <w:pPr>
              <w:spacing w:after="20"/>
            </w:pPr>
            <w:r>
              <w:rPr>
                <w:b/>
                <w:sz w:val="15"/>
              </w:rPr>
              <w:t>Capability</w:t>
            </w:r>
          </w:p>
        </w:tc>
        <w:tc>
          <w:tcPr>
            <w:tcW w:type="dxa" w:w="5112"/>
            <w:shd w:fill="CFE2F3"/>
          </w:tcPr>
          <w:p>
            <w:pPr>
              <w:spacing w:after="20"/>
            </w:pPr>
            <w:r>
              <w:rPr>
                <w:b/>
                <w:sz w:val="15"/>
              </w:rPr>
              <w:t>Contribution</w:t>
            </w:r>
          </w:p>
        </w:tc>
      </w:tr>
      <w:tr>
        <w:tc>
          <w:tcPr>
            <w:tcW w:type="dxa" w:w="5112"/>
            <w:vAlign w:val="center"/>
          </w:tcPr>
          <w:p>
            <w:pPr>
              <w:spacing w:after="20"/>
            </w:pPr>
            <w:r>
              <w:rPr>
                <w:sz w:val="15"/>
              </w:rPr>
              <w:t>Classical Baseline</w:t>
            </w:r>
          </w:p>
        </w:tc>
        <w:tc>
          <w:tcPr>
            <w:tcW w:type="dxa" w:w="5112"/>
            <w:vAlign w:val="center"/>
          </w:tcPr>
          <w:p>
            <w:pPr>
              <w:spacing w:after="20"/>
            </w:pPr>
            <w:r>
              <w:rPr>
                <w:sz w:val="15"/>
              </w:rPr>
              <w:t>Reference implementation and measurements for comparison.</w:t>
            </w:r>
          </w:p>
        </w:tc>
      </w:tr>
      <w:tr>
        <w:tc>
          <w:tcPr>
            <w:tcW w:type="dxa" w:w="5112"/>
            <w:vAlign w:val="center"/>
          </w:tcPr>
          <w:p>
            <w:pPr>
              <w:spacing w:after="20"/>
            </w:pPr>
            <w:r>
              <w:rPr>
                <w:sz w:val="15"/>
              </w:rPr>
              <w:t>Quantum Simulation</w:t>
            </w:r>
          </w:p>
        </w:tc>
        <w:tc>
          <w:tcPr>
            <w:tcW w:type="dxa" w:w="5112"/>
            <w:vAlign w:val="center"/>
          </w:tcPr>
          <w:p>
            <w:pPr>
              <w:spacing w:after="20"/>
            </w:pPr>
            <w:r>
              <w:rPr>
                <w:sz w:val="15"/>
              </w:rPr>
              <w:t>Simulated execution of supported quantum models and algorithms.</w:t>
            </w:r>
          </w:p>
        </w:tc>
      </w:tr>
      <w:tr>
        <w:tc>
          <w:tcPr>
            <w:tcW w:type="dxa" w:w="5112"/>
            <w:vAlign w:val="center"/>
          </w:tcPr>
          <w:p>
            <w:pPr>
              <w:spacing w:after="20"/>
            </w:pPr>
            <w:r>
              <w:rPr>
                <w:sz w:val="15"/>
              </w:rPr>
              <w:t>Quantum Hardware Connector</w:t>
            </w:r>
          </w:p>
        </w:tc>
        <w:tc>
          <w:tcPr>
            <w:tcW w:type="dxa" w:w="5112"/>
            <w:vAlign w:val="center"/>
          </w:tcPr>
          <w:p>
            <w:pPr>
              <w:spacing w:after="20"/>
            </w:pPr>
            <w:r>
              <w:rPr>
                <w:sz w:val="15"/>
              </w:rPr>
              <w:t>Access to a supported QPU or quantum service, subject to availability.</w:t>
            </w:r>
          </w:p>
        </w:tc>
      </w:tr>
      <w:tr>
        <w:tc>
          <w:tcPr>
            <w:tcW w:type="dxa" w:w="5112"/>
            <w:vAlign w:val="center"/>
          </w:tcPr>
          <w:p>
            <w:pPr>
              <w:spacing w:after="20"/>
            </w:pPr>
            <w:r>
              <w:rPr>
                <w:sz w:val="15"/>
              </w:rPr>
              <w:t>Hybrid Orchestration</w:t>
            </w:r>
          </w:p>
        </w:tc>
        <w:tc>
          <w:tcPr>
            <w:tcW w:type="dxa" w:w="5112"/>
            <w:vAlign w:val="center"/>
          </w:tcPr>
          <w:p>
            <w:pPr>
              <w:spacing w:after="20"/>
            </w:pPr>
            <w:r>
              <w:rPr>
                <w:sz w:val="15"/>
              </w:rPr>
              <w:t>Coordinates classical and quantum workflow stages.</w:t>
            </w:r>
          </w:p>
        </w:tc>
      </w:tr>
      <w:tr>
        <w:tc>
          <w:tcPr>
            <w:tcW w:type="dxa" w:w="5112"/>
            <w:vAlign w:val="center"/>
          </w:tcPr>
          <w:p>
            <w:pPr>
              <w:spacing w:after="20"/>
            </w:pPr>
            <w:r>
              <w:rPr>
                <w:sz w:val="15"/>
              </w:rPr>
              <w:t>PQC Evaluation</w:t>
            </w:r>
          </w:p>
        </w:tc>
        <w:tc>
          <w:tcPr>
            <w:tcW w:type="dxa" w:w="5112"/>
            <w:vAlign w:val="center"/>
          </w:tcPr>
          <w:p>
            <w:pPr>
              <w:spacing w:after="20"/>
            </w:pPr>
            <w:r>
              <w:rPr>
                <w:sz w:val="15"/>
              </w:rPr>
              <w:t>Algorithm, protocol and integration testing.</w:t>
            </w:r>
          </w:p>
        </w:tc>
      </w:tr>
      <w:tr>
        <w:tc>
          <w:tcPr>
            <w:tcW w:type="dxa" w:w="5112"/>
            <w:vAlign w:val="center"/>
          </w:tcPr>
          <w:p>
            <w:pPr>
              <w:spacing w:after="20"/>
            </w:pPr>
            <w:r>
              <w:rPr>
                <w:sz w:val="15"/>
              </w:rPr>
              <w:t>Quantum Network Emulator</w:t>
            </w:r>
          </w:p>
        </w:tc>
        <w:tc>
          <w:tcPr>
            <w:tcW w:type="dxa" w:w="5112"/>
            <w:vAlign w:val="center"/>
          </w:tcPr>
          <w:p>
            <w:pPr>
              <w:spacing w:after="20"/>
            </w:pPr>
            <w:r>
              <w:rPr>
                <w:sz w:val="15"/>
              </w:rPr>
              <w:t>Models network behaviour under configurable assumptions.</w:t>
            </w:r>
          </w:p>
        </w:tc>
      </w:tr>
      <w:tr>
        <w:tc>
          <w:tcPr>
            <w:tcW w:type="dxa" w:w="5112"/>
            <w:vAlign w:val="center"/>
          </w:tcPr>
          <w:p>
            <w:pPr>
              <w:spacing w:after="20"/>
            </w:pPr>
            <w:r>
              <w:rPr>
                <w:sz w:val="15"/>
              </w:rPr>
              <w:t>Entanglement Modelling</w:t>
            </w:r>
          </w:p>
        </w:tc>
        <w:tc>
          <w:tcPr>
            <w:tcW w:type="dxa" w:w="5112"/>
            <w:vAlign w:val="center"/>
          </w:tcPr>
          <w:p>
            <w:pPr>
              <w:spacing w:after="20"/>
            </w:pPr>
            <w:r>
              <w:rPr>
                <w:sz w:val="15"/>
              </w:rPr>
              <w:t>Models entanglement-related operations and network scenarios.</w:t>
            </w:r>
          </w:p>
        </w:tc>
      </w:tr>
      <w:tr>
        <w:tc>
          <w:tcPr>
            <w:tcW w:type="dxa" w:w="5112"/>
            <w:vAlign w:val="center"/>
          </w:tcPr>
          <w:p>
            <w:pPr>
              <w:spacing w:after="20"/>
            </w:pPr>
            <w:r>
              <w:rPr>
                <w:sz w:val="15"/>
              </w:rPr>
              <w:t>Experiment Management</w:t>
            </w:r>
          </w:p>
        </w:tc>
        <w:tc>
          <w:tcPr>
            <w:tcW w:type="dxa" w:w="5112"/>
            <w:vAlign w:val="center"/>
          </w:tcPr>
          <w:p>
            <w:pPr>
              <w:spacing w:after="20"/>
            </w:pPr>
            <w:r>
              <w:rPr>
                <w:sz w:val="15"/>
              </w:rPr>
              <w:t>Captures configurations, runs, results and reproducibility information.</w:t>
            </w:r>
          </w:p>
        </w:tc>
      </w:tr>
      <w:tr>
        <w:tc>
          <w:tcPr>
            <w:tcW w:type="dxa" w:w="5112"/>
            <w:vAlign w:val="center"/>
          </w:tcPr>
          <w:p>
            <w:pPr>
              <w:spacing w:after="20"/>
            </w:pPr>
            <w:r>
              <w:rPr>
                <w:sz w:val="15"/>
              </w:rPr>
              <w:t>Evidence and Benchmarking</w:t>
            </w:r>
          </w:p>
        </w:tc>
        <w:tc>
          <w:tcPr>
            <w:tcW w:type="dxa" w:w="5112"/>
            <w:vAlign w:val="center"/>
          </w:tcPr>
          <w:p>
            <w:pPr>
              <w:spacing w:after="20"/>
            </w:pPr>
            <w:r>
              <w:rPr>
                <w:sz w:val="15"/>
              </w:rPr>
              <w:t>Compares results against acceptance criteria.</w:t>
            </w:r>
          </w:p>
        </w:tc>
      </w:tr>
      <w:tr>
        <w:tc>
          <w:tcPr>
            <w:tcW w:type="dxa" w:w="5112"/>
            <w:vAlign w:val="center"/>
          </w:tcPr>
          <w:p>
            <w:pPr>
              <w:spacing w:after="20"/>
            </w:pPr>
            <w:r>
              <w:rPr>
                <w:sz w:val="15"/>
              </w:rPr>
              <w:t>Security and Governance</w:t>
            </w:r>
          </w:p>
        </w:tc>
        <w:tc>
          <w:tcPr>
            <w:tcW w:type="dxa" w:w="5112"/>
            <w:vAlign w:val="center"/>
          </w:tcPr>
          <w:p>
            <w:pPr>
              <w:spacing w:after="20"/>
            </w:pPr>
            <w:r>
              <w:rPr>
                <w:sz w:val="15"/>
              </w:rPr>
              <w:t>Supports relevant access controls, audit and data-handling policies.</w:t>
            </w:r>
          </w:p>
        </w:tc>
      </w:tr>
    </w:tbl>
    <w:p/>
    <w:p>
      <w:r>
        <w:t>Some capabilities may be core components; others may be optional modules, integrations or partner-provided services. The catalogue must distinguish these cases.</w:t>
      </w:r>
    </w:p>
    <w:p>
      <w:pPr>
        <w:pStyle w:val="Heading2"/>
      </w:pPr>
      <w:r>
        <w:t>4.3 Environment SKUs</w:t>
      </w:r>
    </w:p>
    <w:tbl>
      <w:tblPr>
        <w:tblStyle w:val="TableGrid"/>
        <w:tblW w:type="auto" w:w="0"/>
        <w:jc w:val="center"/>
        <w:tblLook w:firstColumn="1" w:firstRow="1" w:lastColumn="0" w:lastRow="0" w:noHBand="0" w:noVBand="1" w:val="04A0"/>
      </w:tblPr>
      <w:tblGrid>
        <w:gridCol w:w="5112"/>
        <w:gridCol w:w="5112"/>
      </w:tblGrid>
      <w:tr>
        <w:tc>
          <w:tcPr>
            <w:tcW w:type="dxa" w:w="5112"/>
            <w:shd w:fill="CFE2F3"/>
          </w:tcPr>
          <w:p>
            <w:pPr>
              <w:spacing w:after="20"/>
            </w:pPr>
            <w:r>
              <w:rPr>
                <w:b/>
                <w:sz w:val="15"/>
              </w:rPr>
              <w:t>Proposed SKU</w:t>
            </w:r>
          </w:p>
        </w:tc>
        <w:tc>
          <w:tcPr>
            <w:tcW w:type="dxa" w:w="5112"/>
            <w:shd w:fill="CFE2F3"/>
          </w:tcPr>
          <w:p>
            <w:pPr>
              <w:spacing w:after="20"/>
            </w:pPr>
            <w:r>
              <w:rPr>
                <w:b/>
                <w:sz w:val="15"/>
              </w:rPr>
              <w:t>Intended use</w:t>
            </w:r>
          </w:p>
        </w:tc>
      </w:tr>
      <w:tr>
        <w:tc>
          <w:tcPr>
            <w:tcW w:type="dxa" w:w="5112"/>
            <w:vAlign w:val="center"/>
          </w:tcPr>
          <w:p>
            <w:pPr>
              <w:spacing w:after="20"/>
            </w:pPr>
            <w:r>
              <w:rPr>
                <w:sz w:val="15"/>
              </w:rPr>
              <w:t>QAI-ENV-BROWSER</w:t>
            </w:r>
          </w:p>
        </w:tc>
        <w:tc>
          <w:tcPr>
            <w:tcW w:type="dxa" w:w="5112"/>
            <w:vAlign w:val="center"/>
          </w:tcPr>
          <w:p>
            <w:pPr>
              <w:spacing w:after="20"/>
            </w:pPr>
            <w:r>
              <w:rPr>
                <w:sz w:val="15"/>
              </w:rPr>
              <w:t>Browser-based access to supported QAI tools.</w:t>
            </w:r>
          </w:p>
        </w:tc>
      </w:tr>
      <w:tr>
        <w:tc>
          <w:tcPr>
            <w:tcW w:type="dxa" w:w="5112"/>
            <w:vAlign w:val="center"/>
          </w:tcPr>
          <w:p>
            <w:pPr>
              <w:spacing w:after="20"/>
            </w:pPr>
            <w:r>
              <w:rPr>
                <w:sz w:val="15"/>
              </w:rPr>
              <w:t>QAI-ENV-DEV</w:t>
            </w:r>
          </w:p>
        </w:tc>
        <w:tc>
          <w:tcPr>
            <w:tcW w:type="dxa" w:w="5112"/>
            <w:vAlign w:val="center"/>
          </w:tcPr>
          <w:p>
            <w:pPr>
              <w:spacing w:after="20"/>
            </w:pPr>
            <w:r>
              <w:rPr>
                <w:sz w:val="15"/>
              </w:rPr>
              <w:t>Developer workstation and local development tools.</w:t>
            </w:r>
          </w:p>
        </w:tc>
      </w:tr>
      <w:tr>
        <w:tc>
          <w:tcPr>
            <w:tcW w:type="dxa" w:w="5112"/>
            <w:vAlign w:val="center"/>
          </w:tcPr>
          <w:p>
            <w:pPr>
              <w:spacing w:after="20"/>
            </w:pPr>
            <w:r>
              <w:rPr>
                <w:sz w:val="15"/>
              </w:rPr>
              <w:t>QAI-ENV-LAB</w:t>
            </w:r>
          </w:p>
        </w:tc>
        <w:tc>
          <w:tcPr>
            <w:tcW w:type="dxa" w:w="5112"/>
            <w:vAlign w:val="center"/>
          </w:tcPr>
          <w:p>
            <w:pPr>
              <w:spacing w:after="20"/>
            </w:pPr>
            <w:r>
              <w:rPr>
                <w:sz w:val="15"/>
              </w:rPr>
              <w:t>Shared research or experimentation environment.</w:t>
            </w:r>
          </w:p>
        </w:tc>
      </w:tr>
      <w:tr>
        <w:tc>
          <w:tcPr>
            <w:tcW w:type="dxa" w:w="5112"/>
            <w:vAlign w:val="center"/>
          </w:tcPr>
          <w:p>
            <w:pPr>
              <w:spacing w:after="20"/>
            </w:pPr>
            <w:r>
              <w:rPr>
                <w:sz w:val="15"/>
              </w:rPr>
              <w:t>QAI-ENV-SERVER</w:t>
            </w:r>
          </w:p>
        </w:tc>
        <w:tc>
          <w:tcPr>
            <w:tcW w:type="dxa" w:w="5112"/>
            <w:vAlign w:val="center"/>
          </w:tcPr>
          <w:p>
            <w:pPr>
              <w:spacing w:after="20"/>
            </w:pPr>
            <w:r>
              <w:rPr>
                <w:sz w:val="15"/>
              </w:rPr>
              <w:t>Client-controlled or managed server deployment.</w:t>
            </w:r>
          </w:p>
        </w:tc>
      </w:tr>
      <w:tr>
        <w:tc>
          <w:tcPr>
            <w:tcW w:type="dxa" w:w="5112"/>
            <w:vAlign w:val="center"/>
          </w:tcPr>
          <w:p>
            <w:pPr>
              <w:spacing w:after="20"/>
            </w:pPr>
            <w:r>
              <w:rPr>
                <w:sz w:val="15"/>
              </w:rPr>
              <w:t>QAI-ENV-HPC</w:t>
            </w:r>
          </w:p>
        </w:tc>
        <w:tc>
          <w:tcPr>
            <w:tcW w:type="dxa" w:w="5112"/>
            <w:vAlign w:val="center"/>
          </w:tcPr>
          <w:p>
            <w:pPr>
              <w:spacing w:after="20"/>
            </w:pPr>
            <w:r>
              <w:rPr>
                <w:sz w:val="15"/>
              </w:rPr>
              <w:t>Supported high-performance computing integration.</w:t>
            </w:r>
          </w:p>
        </w:tc>
      </w:tr>
      <w:tr>
        <w:tc>
          <w:tcPr>
            <w:tcW w:type="dxa" w:w="5112"/>
            <w:vAlign w:val="center"/>
          </w:tcPr>
          <w:p>
            <w:pPr>
              <w:spacing w:after="20"/>
            </w:pPr>
            <w:r>
              <w:rPr>
                <w:sz w:val="15"/>
              </w:rPr>
              <w:t>QAI-ENV-QPU</w:t>
            </w:r>
          </w:p>
        </w:tc>
        <w:tc>
          <w:tcPr>
            <w:tcW w:type="dxa" w:w="5112"/>
            <w:vAlign w:val="center"/>
          </w:tcPr>
          <w:p>
            <w:pPr>
              <w:spacing w:after="20"/>
            </w:pPr>
            <w:r>
              <w:rPr>
                <w:sz w:val="15"/>
              </w:rPr>
              <w:t>Integration with a supported quantum processing service or device.</w:t>
            </w:r>
          </w:p>
        </w:tc>
      </w:tr>
      <w:tr>
        <w:tc>
          <w:tcPr>
            <w:tcW w:type="dxa" w:w="5112"/>
            <w:vAlign w:val="center"/>
          </w:tcPr>
          <w:p>
            <w:pPr>
              <w:spacing w:after="20"/>
            </w:pPr>
            <w:r>
              <w:rPr>
                <w:sz w:val="15"/>
              </w:rPr>
              <w:t>QAI-ENV-CONFIDENTIAL</w:t>
            </w:r>
          </w:p>
        </w:tc>
        <w:tc>
          <w:tcPr>
            <w:tcW w:type="dxa" w:w="5112"/>
            <w:vAlign w:val="center"/>
          </w:tcPr>
          <w:p>
            <w:pPr>
              <w:spacing w:after="20"/>
            </w:pPr>
            <w:r>
              <w:rPr>
                <w:sz w:val="15"/>
              </w:rPr>
              <w:t>Client-controlled or appropriately isolated environment for confidential work.</w:t>
            </w:r>
          </w:p>
        </w:tc>
      </w:tr>
      <w:tr>
        <w:tc>
          <w:tcPr>
            <w:tcW w:type="dxa" w:w="5112"/>
            <w:vAlign w:val="center"/>
          </w:tcPr>
          <w:p>
            <w:pPr>
              <w:spacing w:after="20"/>
            </w:pPr>
            <w:r>
              <w:rPr>
                <w:sz w:val="15"/>
              </w:rPr>
              <w:t>QAI-ENV-CUSTOM</w:t>
            </w:r>
          </w:p>
        </w:tc>
        <w:tc>
          <w:tcPr>
            <w:tcW w:type="dxa" w:w="5112"/>
            <w:vAlign w:val="center"/>
          </w:tcPr>
          <w:p>
            <w:pPr>
              <w:spacing w:after="20"/>
            </w:pPr>
            <w:r>
              <w:rPr>
                <w:sz w:val="15"/>
              </w:rPr>
              <w:t>Bespoke topology or combination of execution environments.</w:t>
            </w:r>
          </w:p>
        </w:tc>
      </w:tr>
    </w:tbl>
    <w:p/>
    <w:p>
      <w:pPr>
        <w:pStyle w:val="Heading1"/>
      </w:pPr>
      <w:r>
        <w:t>5. Complete Custom Bundle</w:t>
      </w:r>
    </w:p>
    <w:p>
      <w:r>
        <w:t>The QAI Custom Solution should be a first-class purchasing route, not an exception. It supports clients who cannot select a predefined bundle, already own infrastructure or tools, or have specialised research and procurement requirements.</w:t>
      </w:r>
    </w:p>
    <w:p>
      <w:pPr>
        <w:pStyle w:val="Heading2"/>
      </w:pPr>
      <w:r>
        <w:t>Custom-bundle workflow</w:t>
      </w:r>
    </w:p>
    <w:p>
      <w:pPr>
        <w:pStyle w:val="ListNumber"/>
      </w:pPr>
      <w:r>
        <w:t>Capture the objective, desired outcome, constraints and existing environment.</w:t>
      </w:r>
    </w:p>
    <w:p>
      <w:pPr>
        <w:pStyle w:val="ListNumber"/>
      </w:pPr>
      <w:r>
        <w:t>Design the experiment, including hypothesis, scenarios, baseline and acceptance criteria.</w:t>
      </w:r>
    </w:p>
    <w:p>
      <w:pPr>
        <w:pStyle w:val="ListNumber"/>
      </w:pPr>
      <w:r>
        <w:t>Map required QAI capabilities, third-party integrations, compute resources and optional services.</w:t>
      </w:r>
    </w:p>
    <w:p>
      <w:pPr>
        <w:pStyle w:val="ListNumber"/>
      </w:pPr>
      <w:r>
        <w:t>Assess feasibility, maturity, compatibility, security, data requirements, cost and hardware availability.</w:t>
      </w:r>
    </w:p>
    <w:p>
      <w:pPr>
        <w:pStyle w:val="ListNumber"/>
      </w:pPr>
      <w:r>
        <w:t>Prepare a tailored bundle, bill of materials and scope of work.</w:t>
      </w:r>
    </w:p>
    <w:p>
      <w:pPr>
        <w:pStyle w:val="ListNumber"/>
      </w:pPr>
      <w:r>
        <w:t>Agree deliverables and acceptance criteria, including how inconclusive results will be reported.</w:t>
      </w:r>
    </w:p>
    <w:p>
      <w:pPr>
        <w:pStyle w:val="ListNumber"/>
      </w:pPr>
      <w:r>
        <w:t>Assemble, configure and validate the selected components.</w:t>
      </w:r>
    </w:p>
    <w:p>
      <w:pPr>
        <w:pStyle w:val="ListNumber"/>
      </w:pPr>
      <w:r>
        <w:t>Deliver evidence, limitations, configuration records and recommendations for the next phase.</w:t>
      </w:r>
    </w:p>
    <w:p>
      <w:pPr>
        <w:pStyle w:val="Heading2"/>
      </w:pPr>
      <w:r>
        <w:t>Example: Quantum-network research bundle</w:t>
      </w:r>
    </w:p>
    <w:p>
      <w:pPr>
        <w:pStyle w:val="ListBullet"/>
      </w:pPr>
      <w:r>
        <w:t>QAI research workspace.</w:t>
      </w:r>
    </w:p>
    <w:p>
      <w:pPr>
        <w:pStyle w:val="ListBullet"/>
      </w:pPr>
      <w:r>
        <w:t>Quantum-network emulator with configurable topology and link models.</w:t>
      </w:r>
    </w:p>
    <w:p>
      <w:pPr>
        <w:pStyle w:val="ListBullet"/>
      </w:pPr>
      <w:r>
        <w:t>Entanglement-related simulation components where supported.</w:t>
      </w:r>
    </w:p>
    <w:p>
      <w:pPr>
        <w:pStyle w:val="ListBullet"/>
      </w:pPr>
      <w:r>
        <w:t>Scenario management and repeatable experiment execution.</w:t>
      </w:r>
    </w:p>
    <w:p>
      <w:pPr>
        <w:pStyle w:val="ListBullet"/>
      </w:pPr>
      <w:r>
        <w:t>Classical networking baselines where relevant.</w:t>
      </w:r>
    </w:p>
    <w:p>
      <w:pPr>
        <w:pStyle w:val="ListBullet"/>
      </w:pPr>
      <w:r>
        <w:t>Performance and evidence reporting.</w:t>
      </w:r>
    </w:p>
    <w:p>
      <w:pPr>
        <w:pStyle w:val="ListBullet"/>
      </w:pPr>
      <w:r>
        <w:t>Optional physical quantum-network integration only when suitable equipment and interfaces are available.</w:t>
      </w:r>
    </w:p>
    <w:p>
      <w:r>
        <w:t>The proposal must distinguish simulated/emulated results from results obtained on physical quantum hardware.</w:t>
      </w:r>
    </w:p>
    <w:p>
      <w:pPr>
        <w:pStyle w:val="Heading1"/>
      </w:pPr>
      <w:r>
        <w:t>6. Commercial Units and Pricing Dimensions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CFE2F3"/>
          </w:tcPr>
          <w:p>
            <w:pPr>
              <w:spacing w:after="20"/>
            </w:pPr>
            <w:r>
              <w:rPr>
                <w:b/>
                <w:sz w:val="15"/>
              </w:rPr>
              <w:t>Billing unit</w:t>
            </w:r>
          </w:p>
        </w:tc>
        <w:tc>
          <w:tcPr>
            <w:tcW w:type="dxa" w:w="3408"/>
            <w:shd w:fill="CFE2F3"/>
          </w:tcPr>
          <w:p>
            <w:pPr>
              <w:spacing w:after="20"/>
            </w:pPr>
            <w:r>
              <w:rPr>
                <w:b/>
                <w:sz w:val="15"/>
              </w:rPr>
              <w:t>Possible charging basis</w:t>
            </w:r>
          </w:p>
        </w:tc>
        <w:tc>
          <w:tcPr>
            <w:tcW w:type="dxa" w:w="3408"/>
            <w:shd w:fill="CFE2F3"/>
          </w:tcPr>
          <w:p>
            <w:pPr>
              <w:spacing w:after="20"/>
            </w:pPr>
            <w:r>
              <w:rPr>
                <w:b/>
                <w:sz w:val="15"/>
              </w:rPr>
              <w:t>Example</w:t>
            </w:r>
          </w:p>
        </w:tc>
      </w:tr>
      <w:tr>
        <w:tc>
          <w:tcPr>
            <w:tcW w:type="dxa" w:w="3408"/>
            <w:vAlign w:val="center"/>
          </w:tcPr>
          <w:p>
            <w:pPr>
              <w:spacing w:after="20"/>
            </w:pPr>
            <w:r>
              <w:rPr>
                <w:sz w:val="15"/>
              </w:rPr>
              <w:t>Platform access</w:t>
            </w:r>
          </w:p>
        </w:tc>
        <w:tc>
          <w:tcPr>
            <w:tcW w:type="dxa" w:w="3408"/>
            <w:vAlign w:val="center"/>
          </w:tcPr>
          <w:p>
            <w:pPr>
              <w:spacing w:after="20"/>
            </w:pPr>
            <w:r>
              <w:rPr>
                <w:sz w:val="15"/>
              </w:rPr>
              <w:t>Subscription or licence term</w:t>
            </w:r>
          </w:p>
        </w:tc>
        <w:tc>
          <w:tcPr>
            <w:tcW w:type="dxa" w:w="3408"/>
            <w:vAlign w:val="center"/>
          </w:tcPr>
          <w:p>
            <w:pPr>
              <w:spacing w:after="20"/>
            </w:pPr>
            <w:r>
              <w:rPr>
                <w:sz w:val="15"/>
              </w:rPr>
              <w:t>Research workspace access.</w:t>
            </w:r>
          </w:p>
        </w:tc>
      </w:tr>
      <w:tr>
        <w:tc>
          <w:tcPr>
            <w:tcW w:type="dxa" w:w="3408"/>
            <w:vAlign w:val="center"/>
          </w:tcPr>
          <w:p>
            <w:pPr>
              <w:spacing w:after="20"/>
            </w:pPr>
            <w:r>
              <w:rPr>
                <w:sz w:val="15"/>
              </w:rPr>
              <w:t>Experiment package</w:t>
            </w:r>
          </w:p>
        </w:tc>
        <w:tc>
          <w:tcPr>
            <w:tcW w:type="dxa" w:w="3408"/>
            <w:vAlign w:val="center"/>
          </w:tcPr>
          <w:p>
            <w:pPr>
              <w:spacing w:after="20"/>
            </w:pPr>
            <w:r>
              <w:rPr>
                <w:sz w:val="15"/>
              </w:rPr>
              <w:t>Fixed-price scope</w:t>
            </w:r>
          </w:p>
        </w:tc>
        <w:tc>
          <w:tcPr>
            <w:tcW w:type="dxa" w:w="3408"/>
            <w:vAlign w:val="center"/>
          </w:tcPr>
          <w:p>
            <w:pPr>
              <w:spacing w:after="20"/>
            </w:pPr>
            <w:r>
              <w:rPr>
                <w:sz w:val="15"/>
              </w:rPr>
              <w:t>Defined PQC benchmark.</w:t>
            </w:r>
          </w:p>
        </w:tc>
      </w:tr>
      <w:tr>
        <w:tc>
          <w:tcPr>
            <w:tcW w:type="dxa" w:w="3408"/>
            <w:vAlign w:val="center"/>
          </w:tcPr>
          <w:p>
            <w:pPr>
              <w:spacing w:after="20"/>
            </w:pPr>
            <w:r>
              <w:rPr>
                <w:sz w:val="15"/>
              </w:rPr>
              <w:t>Compute consumption</w:t>
            </w:r>
          </w:p>
        </w:tc>
        <w:tc>
          <w:tcPr>
            <w:tcW w:type="dxa" w:w="3408"/>
            <w:vAlign w:val="center"/>
          </w:tcPr>
          <w:p>
            <w:pPr>
              <w:spacing w:after="20"/>
            </w:pPr>
            <w:r>
              <w:rPr>
                <w:sz w:val="15"/>
              </w:rPr>
              <w:t>Measured resource usage</w:t>
            </w:r>
          </w:p>
        </w:tc>
        <w:tc>
          <w:tcPr>
            <w:tcW w:type="dxa" w:w="3408"/>
            <w:vAlign w:val="center"/>
          </w:tcPr>
          <w:p>
            <w:pPr>
              <w:spacing w:after="20"/>
            </w:pPr>
            <w:r>
              <w:rPr>
                <w:sz w:val="15"/>
              </w:rPr>
              <w:t>CPU, GPU or supported HPC time.</w:t>
            </w:r>
          </w:p>
        </w:tc>
      </w:tr>
      <w:tr>
        <w:tc>
          <w:tcPr>
            <w:tcW w:type="dxa" w:w="3408"/>
            <w:vAlign w:val="center"/>
          </w:tcPr>
          <w:p>
            <w:pPr>
              <w:spacing w:after="20"/>
            </w:pPr>
            <w:r>
              <w:rPr>
                <w:sz w:val="15"/>
              </w:rPr>
              <w:t>Quantum execution</w:t>
            </w:r>
          </w:p>
        </w:tc>
        <w:tc>
          <w:tcPr>
            <w:tcW w:type="dxa" w:w="3408"/>
            <w:vAlign w:val="center"/>
          </w:tcPr>
          <w:p>
            <w:pPr>
              <w:spacing w:after="20"/>
            </w:pPr>
            <w:r>
              <w:rPr>
                <w:sz w:val="15"/>
              </w:rPr>
              <w:t>Provider-specific usage</w:t>
            </w:r>
          </w:p>
        </w:tc>
        <w:tc>
          <w:tcPr>
            <w:tcW w:type="dxa" w:w="3408"/>
            <w:vAlign w:val="center"/>
          </w:tcPr>
          <w:p>
            <w:pPr>
              <w:spacing w:after="20"/>
            </w:pPr>
            <w:r>
              <w:rPr>
                <w:sz w:val="15"/>
              </w:rPr>
              <w:t>QPU time or execution credits.</w:t>
            </w:r>
          </w:p>
        </w:tc>
      </w:tr>
      <w:tr>
        <w:tc>
          <w:tcPr>
            <w:tcW w:type="dxa" w:w="3408"/>
            <w:vAlign w:val="center"/>
          </w:tcPr>
          <w:p>
            <w:pPr>
              <w:spacing w:after="20"/>
            </w:pPr>
            <w:r>
              <w:rPr>
                <w:sz w:val="15"/>
              </w:rPr>
              <w:t>Network emulation</w:t>
            </w:r>
          </w:p>
        </w:tc>
        <w:tc>
          <w:tcPr>
            <w:tcW w:type="dxa" w:w="3408"/>
            <w:vAlign w:val="center"/>
          </w:tcPr>
          <w:p>
            <w:pPr>
              <w:spacing w:after="20"/>
            </w:pPr>
            <w:r>
              <w:rPr>
                <w:sz w:val="15"/>
              </w:rPr>
              <w:t>Session, workload or resource usage</w:t>
            </w:r>
          </w:p>
        </w:tc>
        <w:tc>
          <w:tcPr>
            <w:tcW w:type="dxa" w:w="3408"/>
            <w:vAlign w:val="center"/>
          </w:tcPr>
          <w:p>
            <w:pPr>
              <w:spacing w:after="20"/>
            </w:pPr>
            <w:r>
              <w:rPr>
                <w:sz w:val="15"/>
              </w:rPr>
              <w:t>Defined quantum-network scenario.</w:t>
            </w:r>
          </w:p>
        </w:tc>
      </w:tr>
      <w:tr>
        <w:tc>
          <w:tcPr>
            <w:tcW w:type="dxa" w:w="3408"/>
            <w:vAlign w:val="center"/>
          </w:tcPr>
          <w:p>
            <w:pPr>
              <w:spacing w:after="20"/>
            </w:pPr>
            <w:r>
              <w:rPr>
                <w:sz w:val="15"/>
              </w:rPr>
              <w:t>Storage and retention</w:t>
            </w:r>
          </w:p>
        </w:tc>
        <w:tc>
          <w:tcPr>
            <w:tcW w:type="dxa" w:w="3408"/>
            <w:vAlign w:val="center"/>
          </w:tcPr>
          <w:p>
            <w:pPr>
              <w:spacing w:after="20"/>
            </w:pPr>
            <w:r>
              <w:rPr>
                <w:sz w:val="15"/>
              </w:rPr>
              <w:t>Capacity and duration</w:t>
            </w:r>
          </w:p>
        </w:tc>
        <w:tc>
          <w:tcPr>
            <w:tcW w:type="dxa" w:w="3408"/>
            <w:vAlign w:val="center"/>
          </w:tcPr>
          <w:p>
            <w:pPr>
              <w:spacing w:after="20"/>
            </w:pPr>
            <w:r>
              <w:rPr>
                <w:sz w:val="15"/>
              </w:rPr>
              <w:t>Retained experiment data and evidence.</w:t>
            </w:r>
          </w:p>
        </w:tc>
      </w:tr>
      <w:tr>
        <w:tc>
          <w:tcPr>
            <w:tcW w:type="dxa" w:w="3408"/>
            <w:vAlign w:val="center"/>
          </w:tcPr>
          <w:p>
            <w:pPr>
              <w:spacing w:after="20"/>
            </w:pPr>
            <w:r>
              <w:rPr>
                <w:sz w:val="15"/>
              </w:rPr>
              <w:t>Integration</w:t>
            </w:r>
          </w:p>
        </w:tc>
        <w:tc>
          <w:tcPr>
            <w:tcW w:type="dxa" w:w="3408"/>
            <w:vAlign w:val="center"/>
          </w:tcPr>
          <w:p>
            <w:pPr>
              <w:spacing w:after="20"/>
            </w:pPr>
            <w:r>
              <w:rPr>
                <w:sz w:val="15"/>
              </w:rPr>
              <w:t>Fixed scope or time and materials</w:t>
            </w:r>
          </w:p>
        </w:tc>
        <w:tc>
          <w:tcPr>
            <w:tcW w:type="dxa" w:w="3408"/>
            <w:vAlign w:val="center"/>
          </w:tcPr>
          <w:p>
            <w:pPr>
              <w:spacing w:after="20"/>
            </w:pPr>
            <w:r>
              <w:rPr>
                <w:sz w:val="15"/>
              </w:rPr>
              <w:t>Connect a client-owned environment.</w:t>
            </w:r>
          </w:p>
        </w:tc>
      </w:tr>
      <w:tr>
        <w:tc>
          <w:tcPr>
            <w:tcW w:type="dxa" w:w="3408"/>
            <w:vAlign w:val="center"/>
          </w:tcPr>
          <w:p>
            <w:pPr>
              <w:spacing w:after="20"/>
            </w:pPr>
            <w:r>
              <w:rPr>
                <w:sz w:val="15"/>
              </w:rPr>
              <w:t>Engineering services</w:t>
            </w:r>
          </w:p>
        </w:tc>
        <w:tc>
          <w:tcPr>
            <w:tcW w:type="dxa" w:w="3408"/>
            <w:vAlign w:val="center"/>
          </w:tcPr>
          <w:p>
            <w:pPr>
              <w:spacing w:after="20"/>
            </w:pPr>
            <w:r>
              <w:rPr>
                <w:sz w:val="15"/>
              </w:rPr>
              <w:t>Milestone, project or time-based</w:t>
            </w:r>
          </w:p>
        </w:tc>
        <w:tc>
          <w:tcPr>
            <w:tcW w:type="dxa" w:w="3408"/>
            <w:vAlign w:val="center"/>
          </w:tcPr>
          <w:p>
            <w:pPr>
              <w:spacing w:after="20"/>
            </w:pPr>
            <w:r>
              <w:rPr>
                <w:sz w:val="15"/>
              </w:rPr>
              <w:t>Custom experiment design.</w:t>
            </w:r>
          </w:p>
        </w:tc>
      </w:tr>
      <w:tr>
        <w:tc>
          <w:tcPr>
            <w:tcW w:type="dxa" w:w="3408"/>
            <w:vAlign w:val="center"/>
          </w:tcPr>
          <w:p>
            <w:pPr>
              <w:spacing w:after="20"/>
            </w:pPr>
            <w:r>
              <w:rPr>
                <w:sz w:val="15"/>
              </w:rPr>
              <w:t>Managed operations</w:t>
            </w:r>
          </w:p>
        </w:tc>
        <w:tc>
          <w:tcPr>
            <w:tcW w:type="dxa" w:w="3408"/>
            <w:vAlign w:val="center"/>
          </w:tcPr>
          <w:p>
            <w:pPr>
              <w:spacing w:after="20"/>
            </w:pPr>
            <w:r>
              <w:rPr>
                <w:sz w:val="15"/>
              </w:rPr>
              <w:t>Recurring service fee</w:t>
            </w:r>
          </w:p>
        </w:tc>
        <w:tc>
          <w:tcPr>
            <w:tcW w:type="dxa" w:w="3408"/>
            <w:vAlign w:val="center"/>
          </w:tcPr>
          <w:p>
            <w:pPr>
              <w:spacing w:after="20"/>
            </w:pPr>
            <w:r>
              <w:rPr>
                <w:sz w:val="15"/>
              </w:rPr>
              <w:t>Monitoring and lifecycle management.</w:t>
            </w:r>
          </w:p>
        </w:tc>
      </w:tr>
      <w:tr>
        <w:tc>
          <w:tcPr>
            <w:tcW w:type="dxa" w:w="3408"/>
            <w:vAlign w:val="center"/>
          </w:tcPr>
          <w:p>
            <w:pPr>
              <w:spacing w:after="20"/>
            </w:pPr>
            <w:r>
              <w:rPr>
                <w:sz w:val="15"/>
              </w:rPr>
              <w:t>Assurance and reporting</w:t>
            </w:r>
          </w:p>
        </w:tc>
        <w:tc>
          <w:tcPr>
            <w:tcW w:type="dxa" w:w="3408"/>
            <w:vAlign w:val="center"/>
          </w:tcPr>
          <w:p>
            <w:pPr>
              <w:spacing w:after="20"/>
            </w:pPr>
            <w:r>
              <w:rPr>
                <w:sz w:val="15"/>
              </w:rPr>
              <w:t>Defined deliverable</w:t>
            </w:r>
          </w:p>
        </w:tc>
        <w:tc>
          <w:tcPr>
            <w:tcW w:type="dxa" w:w="3408"/>
            <w:vAlign w:val="center"/>
          </w:tcPr>
          <w:p>
            <w:pPr>
              <w:spacing w:after="20"/>
            </w:pPr>
            <w:r>
              <w:rPr>
                <w:sz w:val="15"/>
              </w:rPr>
              <w:t>Acceptance report or evidence package.</w:t>
            </w:r>
          </w:p>
        </w:tc>
      </w:tr>
      <w:tr>
        <w:tc>
          <w:tcPr>
            <w:tcW w:type="dxa" w:w="3408"/>
            <w:vAlign w:val="center"/>
          </w:tcPr>
          <w:p>
            <w:pPr>
              <w:spacing w:after="20"/>
            </w:pPr>
            <w:r>
              <w:rPr>
                <w:sz w:val="15"/>
              </w:rPr>
              <w:t>Custom solution</w:t>
            </w:r>
          </w:p>
        </w:tc>
        <w:tc>
          <w:tcPr>
            <w:tcW w:type="dxa" w:w="3408"/>
            <w:vAlign w:val="center"/>
          </w:tcPr>
          <w:p>
            <w:pPr>
              <w:spacing w:after="20"/>
            </w:pPr>
            <w:r>
              <w:rPr>
                <w:sz w:val="15"/>
              </w:rPr>
              <w:t>Milestone-based proposal</w:t>
            </w:r>
          </w:p>
        </w:tc>
        <w:tc>
          <w:tcPr>
            <w:tcW w:type="dxa" w:w="3408"/>
            <w:vAlign w:val="center"/>
          </w:tcPr>
          <w:p>
            <w:pPr>
              <w:spacing w:after="20"/>
            </w:pPr>
            <w:r>
              <w:rPr>
                <w:sz w:val="15"/>
              </w:rPr>
              <w:t>Integrated client-specific bundle.</w:t>
            </w:r>
          </w:p>
        </w:tc>
      </w:tr>
    </w:tbl>
    <w:p/>
    <w:p>
      <w:r>
        <w:t>A bundle may combine a base platform, selected capability modules, execution resources and optional services with defined usage limits. Quotes should identify inclusions, metered components, partner-supplied services, assumptions and additional charges. Provider-specific QPU costs and availability must be verified for each engagement.</w:t>
      </w:r>
    </w:p>
    <w:p>
      <w:pPr>
        <w:pStyle w:val="Heading1"/>
      </w:pPr>
      <w:r>
        <w:t>7. Common QAI Experiment Definition</w:t>
      </w:r>
    </w:p>
    <w:p>
      <w:r>
        <w:t>A reusable QAI Experiment Definition can connect client objectives, technical implementation and commercial acceptance. Each objective SKU or custom bundle should record the following fields.</w:t>
      </w:r>
    </w:p>
    <w:tbl>
      <w:tblPr>
        <w:tblStyle w:val="TableGrid"/>
        <w:tblW w:type="auto" w:w="0"/>
        <w:jc w:val="center"/>
        <w:tblLook w:firstColumn="1" w:firstRow="1" w:lastColumn="0" w:lastRow="0" w:noHBand="0" w:noVBand="1" w:val="04A0"/>
      </w:tblPr>
      <w:tblGrid>
        <w:gridCol w:w="5112"/>
        <w:gridCol w:w="5112"/>
      </w:tblGrid>
      <w:tr>
        <w:tc>
          <w:tcPr>
            <w:tcW w:type="dxa" w:w="5112"/>
            <w:shd w:fill="CFE2F3"/>
          </w:tcPr>
          <w:p>
            <w:pPr>
              <w:spacing w:after="20"/>
            </w:pPr>
            <w:r>
              <w:rPr>
                <w:b/>
                <w:sz w:val="15"/>
              </w:rPr>
              <w:t>Field</w:t>
            </w:r>
          </w:p>
        </w:tc>
        <w:tc>
          <w:tcPr>
            <w:tcW w:type="dxa" w:w="5112"/>
            <w:shd w:fill="CFE2F3"/>
          </w:tcPr>
          <w:p>
            <w:pPr>
              <w:spacing w:after="20"/>
            </w:pPr>
            <w:r>
              <w:rPr>
                <w:b/>
                <w:sz w:val="15"/>
              </w:rPr>
              <w:t>Purpose</w:t>
            </w:r>
          </w:p>
        </w:tc>
      </w:tr>
      <w:tr>
        <w:tc>
          <w:tcPr>
            <w:tcW w:type="dxa" w:w="5112"/>
            <w:vAlign w:val="center"/>
          </w:tcPr>
          <w:p>
            <w:pPr>
              <w:spacing w:after="20"/>
            </w:pPr>
            <w:r>
              <w:rPr>
                <w:sz w:val="15"/>
              </w:rPr>
              <w:t>Client problem</w:t>
            </w:r>
          </w:p>
        </w:tc>
        <w:tc>
          <w:tcPr>
            <w:tcW w:type="dxa" w:w="5112"/>
            <w:vAlign w:val="center"/>
          </w:tcPr>
          <w:p>
            <w:pPr>
              <w:spacing w:after="20"/>
            </w:pPr>
            <w:r>
              <w:rPr>
                <w:sz w:val="15"/>
              </w:rPr>
              <w:t>Why the experiment is being conducted.</w:t>
            </w:r>
          </w:p>
        </w:tc>
      </w:tr>
      <w:tr>
        <w:tc>
          <w:tcPr>
            <w:tcW w:type="dxa" w:w="5112"/>
            <w:vAlign w:val="center"/>
          </w:tcPr>
          <w:p>
            <w:pPr>
              <w:spacing w:after="20"/>
            </w:pPr>
            <w:r>
              <w:rPr>
                <w:sz w:val="15"/>
              </w:rPr>
              <w:t>Hypothesis</w:t>
            </w:r>
          </w:p>
        </w:tc>
        <w:tc>
          <w:tcPr>
            <w:tcW w:type="dxa" w:w="5112"/>
            <w:vAlign w:val="center"/>
          </w:tcPr>
          <w:p>
            <w:pPr>
              <w:spacing w:after="20"/>
            </w:pPr>
            <w:r>
              <w:rPr>
                <w:sz w:val="15"/>
              </w:rPr>
              <w:t>What the client wants to test.</w:t>
            </w:r>
          </w:p>
        </w:tc>
      </w:tr>
      <w:tr>
        <w:tc>
          <w:tcPr>
            <w:tcW w:type="dxa" w:w="5112"/>
            <w:vAlign w:val="center"/>
          </w:tcPr>
          <w:p>
            <w:pPr>
              <w:spacing w:after="20"/>
            </w:pPr>
            <w:r>
              <w:rPr>
                <w:sz w:val="15"/>
              </w:rPr>
              <w:t>Workload or scenario</w:t>
            </w:r>
          </w:p>
        </w:tc>
        <w:tc>
          <w:tcPr>
            <w:tcW w:type="dxa" w:w="5112"/>
            <w:vAlign w:val="center"/>
          </w:tcPr>
          <w:p>
            <w:pPr>
              <w:spacing w:after="20"/>
            </w:pPr>
            <w:r>
              <w:rPr>
                <w:sz w:val="15"/>
              </w:rPr>
              <w:t>The task being executed.</w:t>
            </w:r>
          </w:p>
        </w:tc>
      </w:tr>
      <w:tr>
        <w:tc>
          <w:tcPr>
            <w:tcW w:type="dxa" w:w="5112"/>
            <w:vAlign w:val="center"/>
          </w:tcPr>
          <w:p>
            <w:pPr>
              <w:spacing w:after="20"/>
            </w:pPr>
            <w:r>
              <w:rPr>
                <w:sz w:val="15"/>
              </w:rPr>
              <w:t>Baseline</w:t>
            </w:r>
          </w:p>
        </w:tc>
        <w:tc>
          <w:tcPr>
            <w:tcW w:type="dxa" w:w="5112"/>
            <w:vAlign w:val="center"/>
          </w:tcPr>
          <w:p>
            <w:pPr>
              <w:spacing w:after="20"/>
            </w:pPr>
            <w:r>
              <w:rPr>
                <w:sz w:val="15"/>
              </w:rPr>
              <w:t>The classical or existing approach used for comparison.</w:t>
            </w:r>
          </w:p>
        </w:tc>
      </w:tr>
      <w:tr>
        <w:tc>
          <w:tcPr>
            <w:tcW w:type="dxa" w:w="5112"/>
            <w:vAlign w:val="center"/>
          </w:tcPr>
          <w:p>
            <w:pPr>
              <w:spacing w:after="20"/>
            </w:pPr>
            <w:r>
              <w:rPr>
                <w:sz w:val="15"/>
              </w:rPr>
              <w:t>Candidate method</w:t>
            </w:r>
          </w:p>
        </w:tc>
        <w:tc>
          <w:tcPr>
            <w:tcW w:type="dxa" w:w="5112"/>
            <w:vAlign w:val="center"/>
          </w:tcPr>
          <w:p>
            <w:pPr>
              <w:spacing w:after="20"/>
            </w:pPr>
            <w:r>
              <w:rPr>
                <w:sz w:val="15"/>
              </w:rPr>
              <w:t>Quantum, hybrid, PQC, networking or another method.</w:t>
            </w:r>
          </w:p>
        </w:tc>
      </w:tr>
      <w:tr>
        <w:tc>
          <w:tcPr>
            <w:tcW w:type="dxa" w:w="5112"/>
            <w:vAlign w:val="center"/>
          </w:tcPr>
          <w:p>
            <w:pPr>
              <w:spacing w:after="20"/>
            </w:pPr>
            <w:r>
              <w:rPr>
                <w:sz w:val="15"/>
              </w:rPr>
              <w:t>Execution environment</w:t>
            </w:r>
          </w:p>
        </w:tc>
        <w:tc>
          <w:tcPr>
            <w:tcW w:type="dxa" w:w="5112"/>
            <w:vAlign w:val="center"/>
          </w:tcPr>
          <w:p>
            <w:pPr>
              <w:spacing w:after="20"/>
            </w:pPr>
            <w:r>
              <w:rPr>
                <w:sz w:val="15"/>
              </w:rPr>
              <w:t>Simulator, server, HPC, QPU or network emulator.</w:t>
            </w:r>
          </w:p>
        </w:tc>
      </w:tr>
      <w:tr>
        <w:tc>
          <w:tcPr>
            <w:tcW w:type="dxa" w:w="5112"/>
            <w:vAlign w:val="center"/>
          </w:tcPr>
          <w:p>
            <w:pPr>
              <w:spacing w:after="20"/>
            </w:pPr>
            <w:r>
              <w:rPr>
                <w:sz w:val="15"/>
              </w:rPr>
              <w:t>Inputs and constraints</w:t>
            </w:r>
          </w:p>
        </w:tc>
        <w:tc>
          <w:tcPr>
            <w:tcW w:type="dxa" w:w="5112"/>
            <w:vAlign w:val="center"/>
          </w:tcPr>
          <w:p>
            <w:pPr>
              <w:spacing w:after="20"/>
            </w:pPr>
            <w:r>
              <w:rPr>
                <w:sz w:val="15"/>
              </w:rPr>
              <w:t>Data, assumptions, workload size and operating conditions.</w:t>
            </w:r>
          </w:p>
        </w:tc>
      </w:tr>
      <w:tr>
        <w:tc>
          <w:tcPr>
            <w:tcW w:type="dxa" w:w="5112"/>
            <w:vAlign w:val="center"/>
          </w:tcPr>
          <w:p>
            <w:pPr>
              <w:spacing w:after="20"/>
            </w:pPr>
            <w:r>
              <w:rPr>
                <w:sz w:val="15"/>
              </w:rPr>
              <w:t>Metrics</w:t>
            </w:r>
          </w:p>
        </w:tc>
        <w:tc>
          <w:tcPr>
            <w:tcW w:type="dxa" w:w="5112"/>
            <w:vAlign w:val="center"/>
          </w:tcPr>
          <w:p>
            <w:pPr>
              <w:spacing w:after="20"/>
            </w:pPr>
            <w:r>
              <w:rPr>
                <w:sz w:val="15"/>
              </w:rPr>
              <w:t>Performance, quality, resource use, security or other relevant measures.</w:t>
            </w:r>
          </w:p>
        </w:tc>
      </w:tr>
      <w:tr>
        <w:tc>
          <w:tcPr>
            <w:tcW w:type="dxa" w:w="5112"/>
            <w:vAlign w:val="center"/>
          </w:tcPr>
          <w:p>
            <w:pPr>
              <w:spacing w:after="20"/>
            </w:pPr>
            <w:r>
              <w:rPr>
                <w:sz w:val="15"/>
              </w:rPr>
              <w:t>Acceptance criteria</w:t>
            </w:r>
          </w:p>
        </w:tc>
        <w:tc>
          <w:tcPr>
            <w:tcW w:type="dxa" w:w="5112"/>
            <w:vAlign w:val="center"/>
          </w:tcPr>
          <w:p>
            <w:pPr>
              <w:spacing w:after="20"/>
            </w:pPr>
            <w:r>
              <w:rPr>
                <w:sz w:val="15"/>
              </w:rPr>
              <w:t>Conditions for considering the deliverable complete.</w:t>
            </w:r>
          </w:p>
        </w:tc>
      </w:tr>
      <w:tr>
        <w:tc>
          <w:tcPr>
            <w:tcW w:type="dxa" w:w="5112"/>
            <w:vAlign w:val="center"/>
          </w:tcPr>
          <w:p>
            <w:pPr>
              <w:spacing w:after="20"/>
            </w:pPr>
            <w:r>
              <w:rPr>
                <w:sz w:val="15"/>
              </w:rPr>
              <w:t>Evidence</w:t>
            </w:r>
          </w:p>
        </w:tc>
        <w:tc>
          <w:tcPr>
            <w:tcW w:type="dxa" w:w="5112"/>
            <w:vAlign w:val="center"/>
          </w:tcPr>
          <w:p>
            <w:pPr>
              <w:spacing w:after="20"/>
            </w:pPr>
            <w:r>
              <w:rPr>
                <w:sz w:val="15"/>
              </w:rPr>
              <w:t>Logs, configurations, results and reproducibility artefacts.</w:t>
            </w:r>
          </w:p>
        </w:tc>
      </w:tr>
      <w:tr>
        <w:tc>
          <w:tcPr>
            <w:tcW w:type="dxa" w:w="5112"/>
            <w:vAlign w:val="center"/>
          </w:tcPr>
          <w:p>
            <w:pPr>
              <w:spacing w:after="20"/>
            </w:pPr>
            <w:r>
              <w:rPr>
                <w:sz w:val="15"/>
              </w:rPr>
              <w:t>Limitations</w:t>
            </w:r>
          </w:p>
        </w:tc>
        <w:tc>
          <w:tcPr>
            <w:tcW w:type="dxa" w:w="5112"/>
            <w:vAlign w:val="center"/>
          </w:tcPr>
          <w:p>
            <w:pPr>
              <w:spacing w:after="20"/>
            </w:pPr>
            <w:r>
              <w:rPr>
                <w:sz w:val="15"/>
              </w:rPr>
              <w:t>Unsupported conditions, modelling assumptions and uncertainties.</w:t>
            </w:r>
          </w:p>
        </w:tc>
      </w:tr>
      <w:tr>
        <w:tc>
          <w:tcPr>
            <w:tcW w:type="dxa" w:w="5112"/>
            <w:vAlign w:val="center"/>
          </w:tcPr>
          <w:p>
            <w:pPr>
              <w:spacing w:after="20"/>
            </w:pPr>
            <w:r>
              <w:rPr>
                <w:sz w:val="15"/>
              </w:rPr>
              <w:t>Next decision</w:t>
            </w:r>
          </w:p>
        </w:tc>
        <w:tc>
          <w:tcPr>
            <w:tcW w:type="dxa" w:w="5112"/>
            <w:vAlign w:val="center"/>
          </w:tcPr>
          <w:p>
            <w:pPr>
              <w:spacing w:after="20"/>
            </w:pPr>
            <w:r>
              <w:rPr>
                <w:sz w:val="15"/>
              </w:rPr>
              <w:t>Stop, repeat, refine, expand or progress to a pilot.</w:t>
            </w:r>
          </w:p>
        </w:tc>
      </w:tr>
    </w:tbl>
    <w:p/>
    <w:p>
      <w:pPr>
        <w:pStyle w:val="Heading1"/>
      </w:pPr>
      <w:r>
        <w:t>8. Catalogue Architecture</w:t>
      </w:r>
    </w:p>
    <w:tbl>
      <w:tblPr>
        <w:tblStyle w:val="TableGrid"/>
        <w:tblW w:type="auto" w:w="0"/>
        <w:jc w:val="center"/>
        <w:tblLook w:firstColumn="1" w:firstRow="1" w:lastColumn="0" w:lastRow="0" w:noHBand="0" w:noVBand="1" w:val="04A0"/>
      </w:tblPr>
      <w:tblGrid>
        <w:gridCol w:w="5112"/>
        <w:gridCol w:w="5112"/>
      </w:tblGrid>
      <w:tr>
        <w:tc>
          <w:tcPr>
            <w:tcW w:type="dxa" w:w="5112"/>
            <w:shd w:fill="CFE2F3"/>
          </w:tcPr>
          <w:p>
            <w:pPr>
              <w:spacing w:after="20"/>
            </w:pPr>
            <w:r>
              <w:rPr>
                <w:b/>
                <w:sz w:val="15"/>
              </w:rPr>
              <w:t>Catalogue view</w:t>
            </w:r>
          </w:p>
        </w:tc>
        <w:tc>
          <w:tcPr>
            <w:tcW w:type="dxa" w:w="5112"/>
            <w:shd w:fill="CFE2F3"/>
          </w:tcPr>
          <w:p>
            <w:pPr>
              <w:spacing w:after="20"/>
            </w:pPr>
            <w:r>
              <w:rPr>
                <w:b/>
                <w:sz w:val="15"/>
              </w:rPr>
              <w:t>Role</w:t>
            </w:r>
          </w:p>
        </w:tc>
      </w:tr>
      <w:tr>
        <w:tc>
          <w:tcPr>
            <w:tcW w:type="dxa" w:w="5112"/>
            <w:vAlign w:val="center"/>
          </w:tcPr>
          <w:p>
            <w:pPr>
              <w:spacing w:after="20"/>
            </w:pPr>
            <w:r>
              <w:rPr>
                <w:sz w:val="15"/>
              </w:rPr>
              <w:t>Client Problem Catalogue</w:t>
            </w:r>
          </w:p>
        </w:tc>
        <w:tc>
          <w:tcPr>
            <w:tcW w:type="dxa" w:w="5112"/>
            <w:vAlign w:val="center"/>
          </w:tcPr>
          <w:p>
            <w:pPr>
              <w:spacing w:after="20"/>
            </w:pPr>
            <w:r>
              <w:rPr>
                <w:sz w:val="15"/>
              </w:rPr>
              <w:t>Problems clients want to solve.</w:t>
            </w:r>
          </w:p>
        </w:tc>
      </w:tr>
      <w:tr>
        <w:tc>
          <w:tcPr>
            <w:tcW w:type="dxa" w:w="5112"/>
            <w:vAlign w:val="center"/>
          </w:tcPr>
          <w:p>
            <w:pPr>
              <w:spacing w:after="20"/>
            </w:pPr>
            <w:r>
              <w:rPr>
                <w:sz w:val="15"/>
              </w:rPr>
              <w:t>Use Case and Experiment Catalogue</w:t>
            </w:r>
          </w:p>
        </w:tc>
        <w:tc>
          <w:tcPr>
            <w:tcW w:type="dxa" w:w="5112"/>
            <w:vAlign w:val="center"/>
          </w:tcPr>
          <w:p>
            <w:pPr>
              <w:spacing w:after="20"/>
            </w:pPr>
            <w:r>
              <w:rPr>
                <w:sz w:val="15"/>
              </w:rPr>
              <w:t>Experiments that investigate those problems.</w:t>
            </w:r>
          </w:p>
        </w:tc>
      </w:tr>
      <w:tr>
        <w:tc>
          <w:tcPr>
            <w:tcW w:type="dxa" w:w="5112"/>
            <w:vAlign w:val="center"/>
          </w:tcPr>
          <w:p>
            <w:pPr>
              <w:spacing w:after="20"/>
            </w:pPr>
            <w:r>
              <w:rPr>
                <w:sz w:val="15"/>
              </w:rPr>
              <w:t>QAI Capability Catalogue</w:t>
            </w:r>
          </w:p>
        </w:tc>
        <w:tc>
          <w:tcPr>
            <w:tcW w:type="dxa" w:w="5112"/>
            <w:vAlign w:val="center"/>
          </w:tcPr>
          <w:p>
            <w:pPr>
              <w:spacing w:after="20"/>
            </w:pPr>
            <w:r>
              <w:rPr>
                <w:sz w:val="15"/>
              </w:rPr>
              <w:t>Reusable technical functions.</w:t>
            </w:r>
          </w:p>
        </w:tc>
      </w:tr>
      <w:tr>
        <w:tc>
          <w:tcPr>
            <w:tcW w:type="dxa" w:w="5112"/>
            <w:vAlign w:val="center"/>
          </w:tcPr>
          <w:p>
            <w:pPr>
              <w:spacing w:after="20"/>
            </w:pPr>
            <w:r>
              <w:rPr>
                <w:sz w:val="15"/>
              </w:rPr>
              <w:t>Product and Integration Catalogue</w:t>
            </w:r>
          </w:p>
        </w:tc>
        <w:tc>
          <w:tcPr>
            <w:tcW w:type="dxa" w:w="5112"/>
            <w:vAlign w:val="center"/>
          </w:tcPr>
          <w:p>
            <w:pPr>
              <w:spacing w:after="20"/>
            </w:pPr>
            <w:r>
              <w:rPr>
                <w:sz w:val="15"/>
              </w:rPr>
              <w:t>QAI products, modules, third-party tools and supported integrations.</w:t>
            </w:r>
          </w:p>
        </w:tc>
      </w:tr>
      <w:tr>
        <w:tc>
          <w:tcPr>
            <w:tcW w:type="dxa" w:w="5112"/>
            <w:vAlign w:val="center"/>
          </w:tcPr>
          <w:p>
            <w:pPr>
              <w:spacing w:after="20"/>
            </w:pPr>
            <w:r>
              <w:rPr>
                <w:sz w:val="15"/>
              </w:rPr>
              <w:t>Environment and Infrastructure Catalogue</w:t>
            </w:r>
          </w:p>
        </w:tc>
        <w:tc>
          <w:tcPr>
            <w:tcW w:type="dxa" w:w="5112"/>
            <w:vAlign w:val="center"/>
          </w:tcPr>
          <w:p>
            <w:pPr>
              <w:spacing w:after="20"/>
            </w:pPr>
            <w:r>
              <w:rPr>
                <w:sz w:val="15"/>
              </w:rPr>
              <w:t>Execution and access options.</w:t>
            </w:r>
          </w:p>
        </w:tc>
      </w:tr>
      <w:tr>
        <w:tc>
          <w:tcPr>
            <w:tcW w:type="dxa" w:w="5112"/>
            <w:vAlign w:val="center"/>
          </w:tcPr>
          <w:p>
            <w:pPr>
              <w:spacing w:after="20"/>
            </w:pPr>
            <w:r>
              <w:rPr>
                <w:sz w:val="15"/>
              </w:rPr>
              <w:t>Commercial SKU Catalogue</w:t>
            </w:r>
          </w:p>
        </w:tc>
        <w:tc>
          <w:tcPr>
            <w:tcW w:type="dxa" w:w="5112"/>
            <w:vAlign w:val="center"/>
          </w:tcPr>
          <w:p>
            <w:pPr>
              <w:spacing w:after="20"/>
            </w:pPr>
            <w:r>
              <w:rPr>
                <w:sz w:val="15"/>
              </w:rPr>
              <w:t>Orderable packages, licences, services and usage units.</w:t>
            </w:r>
          </w:p>
        </w:tc>
      </w:tr>
      <w:tr>
        <w:tc>
          <w:tcPr>
            <w:tcW w:type="dxa" w:w="5112"/>
            <w:vAlign w:val="center"/>
          </w:tcPr>
          <w:p>
            <w:pPr>
              <w:spacing w:after="20"/>
            </w:pPr>
            <w:r>
              <w:rPr>
                <w:sz w:val="15"/>
              </w:rPr>
              <w:t>Custom Solution Catalogue</w:t>
            </w:r>
          </w:p>
        </w:tc>
        <w:tc>
          <w:tcPr>
            <w:tcW w:type="dxa" w:w="5112"/>
            <w:vAlign w:val="center"/>
          </w:tcPr>
          <w:p>
            <w:pPr>
              <w:spacing w:after="20"/>
            </w:pPr>
            <w:r>
              <w:rPr>
                <w:sz w:val="15"/>
              </w:rPr>
              <w:t>Structured route for bespoke bundles.</w:t>
            </w:r>
          </w:p>
        </w:tc>
      </w:tr>
      <w:tr>
        <w:tc>
          <w:tcPr>
            <w:tcW w:type="dxa" w:w="5112"/>
            <w:vAlign w:val="center"/>
          </w:tcPr>
          <w:p>
            <w:pPr>
              <w:spacing w:after="20"/>
            </w:pPr>
            <w:r>
              <w:rPr>
                <w:sz w:val="15"/>
              </w:rPr>
              <w:t>Acceptance and Evidence Catalogue</w:t>
            </w:r>
          </w:p>
        </w:tc>
        <w:tc>
          <w:tcPr>
            <w:tcW w:type="dxa" w:w="5112"/>
            <w:vAlign w:val="center"/>
          </w:tcPr>
          <w:p>
            <w:pPr>
              <w:spacing w:after="20"/>
            </w:pPr>
            <w:r>
              <w:rPr>
                <w:sz w:val="15"/>
              </w:rPr>
              <w:t>Metrics, validation requirements and deliverables.</w:t>
            </w:r>
          </w:p>
        </w:tc>
      </w:tr>
    </w:tbl>
    <w:p/>
    <w:p>
      <w:r>
        <w:t>These are linked catalogue views rather than disconnected product families. A client problem maps to experiments; experiments map to capabilities; capabilities map to products and execution environments; the commercial catalogue translates the configuration into an order.</w:t>
      </w:r>
    </w:p>
    <w:p>
      <w:pPr>
        <w:pStyle w:val="Heading1"/>
      </w:pPr>
      <w:r>
        <w:t>9. Implementation Roadmap</w:t>
      </w:r>
    </w:p>
    <w:p>
      <w:pPr>
        <w:pStyle w:val="ListNumber"/>
      </w:pPr>
      <w:r>
        <w:t>Identify demand: prioritise client problems across quantum computing, PQC, quantum communication, networking, simulation and hybrid workloads; separate near-term adoption from exploratory research.</w:t>
      </w:r>
    </w:p>
    <w:p>
      <w:pPr>
        <w:pStyle w:val="ListNumber"/>
      </w:pPr>
      <w:r>
        <w:t>Map existing assets: map QAI products, frameworks, repositories, tools and integrations to use cases. Mark each as available, under development, externally supplied or proposed.</w:t>
      </w:r>
    </w:p>
    <w:p>
      <w:pPr>
        <w:pStyle w:val="ListNumber"/>
      </w:pPr>
      <w:r>
        <w:t>Define orderable SKUs: establish objective, capability, environment and service SKUs, plus configuration rules and dependencies.</w:t>
      </w:r>
    </w:p>
    <w:p>
      <w:pPr>
        <w:pStyle w:val="ListNumber"/>
      </w:pPr>
      <w:r>
        <w:t>Define commercial units: specify subscription, project, resource-consumption and custom-engineering models, with usage limits and acceptance deliverables.</w:t>
      </w:r>
    </w:p>
    <w:p>
      <w:pPr>
        <w:pStyle w:val="ListNumber"/>
      </w:pPr>
      <w:r>
        <w:t>Establish custom-bundle delivery: create a repeatable assessment, design, quotation, assembly and validation process using reusable QAI Factory assets.</w:t>
      </w:r>
    </w:p>
    <w:p>
      <w:pPr>
        <w:pStyle w:val="ListNumber"/>
      </w:pPr>
      <w:r>
        <w:t>Validate representative offers: begin with a quantum-computing benchmark, PQC evaluation and quantum-network emulation; confirm actual implementation maturity before marketing availability.</w:t>
      </w:r>
    </w:p>
    <w:p>
      <w:pPr>
        <w:pStyle w:val="Heading1"/>
      </w:pPr>
      <w:r>
        <w:t>10. Maturity, Evidence and Claims Control</w:t>
      </w:r>
    </w:p>
    <w:p>
      <w:r>
        <w:t>Every catalogue item should have an explicit status, such as:</w:t>
      </w:r>
    </w:p>
    <w:p>
      <w:pPr>
        <w:pStyle w:val="ListBullet"/>
      </w:pPr>
      <w:r>
        <w:t>Proposed — commercial or technical concept only.</w:t>
      </w:r>
    </w:p>
    <w:p>
      <w:pPr>
        <w:pStyle w:val="ListBullet"/>
      </w:pPr>
      <w:r>
        <w:t>Under development — implementation work is in progress.</w:t>
      </w:r>
    </w:p>
    <w:p>
      <w:pPr>
        <w:pStyle w:val="ListBullet"/>
      </w:pPr>
      <w:r>
        <w:t>Available for internal experimentation — usable in a controlled internal context.</w:t>
      </w:r>
    </w:p>
    <w:p>
      <w:pPr>
        <w:pStyle w:val="ListBullet"/>
      </w:pPr>
      <w:r>
        <w:t>Functionally tested — core behaviours have been exercised.</w:t>
      </w:r>
    </w:p>
    <w:p>
      <w:pPr>
        <w:pStyle w:val="ListBullet"/>
      </w:pPr>
      <w:r>
        <w:t>Validated on reference environment — defined tests passed on stated hardware/software.</w:t>
      </w:r>
    </w:p>
    <w:p>
      <w:pPr>
        <w:pStyle w:val="ListBullet"/>
      </w:pPr>
      <w:r>
        <w:t>Supported for defined production profile — documented support boundary and acceptance evidence exist.</w:t>
      </w:r>
    </w:p>
    <w:p>
      <w:pPr>
        <w:pStyle w:val="ListBullet"/>
      </w:pPr>
      <w:r>
        <w:t>Externally supplied — dependent on a named third-party provider or service.</w:t>
      </w:r>
    </w:p>
    <w:p>
      <w:pPr>
        <w:pStyle w:val="ListBullet"/>
      </w:pPr>
      <w:r>
        <w:t>Not supported — explicitly outside current support scope.</w:t>
      </w:r>
    </w:p>
    <w:p>
      <w:r>
        <w:t>Do not promise quantum speedup merely because a quantum algorithm is available. Define an appropriate baseline and report workload, quality, execution conditions, resource costs and reproducibility. Results may show an advantage, no advantage, or insufficient evidence. For PQC, testing a standardised algorithm alone does not prove overall system security; integration, configuration and operational context also matter.</w:t>
      </w:r>
    </w:p>
    <w:p>
      <w:pPr>
        <w:pStyle w:val="Heading1"/>
      </w:pPr>
      <w:r>
        <w:t>11. Recommended Next Artefact</w:t>
      </w:r>
    </w:p>
    <w:p>
      <w:r>
        <w:t>Create a QAI Client Use Case, Experiment and Commercial SKU Master Catalogue linking each client objective to its problem statement, experiment, baseline, required capabilities, existing QAI assets, execution environment, acceptance evidence, SKU composition, pricing unit and maturity status. Use this master catalogue as the common reference for product development, sales proposals and custom-bundle fulfilment.</w:t>
      </w:r>
    </w:p>
    <w:p>
      <w:pPr>
        <w:pStyle w:val="Heading1"/>
      </w:pPr>
      <w:r>
        <w:t>12. Further Reading</w:t>
      </w:r>
    </w:p>
    <w:p>
      <w:r>
        <w:t>NIST Post-Quantum Cryptography project and standards: https://csrc.nist.gov/Projects/Post-Quantum-Cryptography</w:t>
      </w:r>
    </w:p>
    <w:p>
      <w:r>
        <w:t>NIST Migration to Post-Quantum Cryptography FAQ: https://pages.nist.gov/nccoe-migration-post-quantum-cryptography/</w:t>
      </w:r>
    </w:p>
    <w:p>
      <w:r>
        <w:t>These references support the PQC context. The use-case catalogue, SKU identifiers, packaging and roadmap in this document are proposed Bhadale IT commercial design elements.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Bhadale IT | QAI Commercialisation Framework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