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br/>
        <w:t>DEMAND-DRIVEN QAI</w:t>
        <w:br/>
        <w:t>DATA CENTRE AS A SERVICE</w:t>
      </w:r>
    </w:p>
    <w:p>
      <w:pPr>
        <w:jc w:val="center"/>
      </w:pPr>
      <w:r>
        <w:rPr>
          <w:b w:val="0"/>
        </w:rPr>
        <w:t>Dynamic Deployment • Just-in-Time Provisioning • Agile Sprints • Resource Efficiency</w:t>
      </w:r>
    </w:p>
    <w:p>
      <w:pPr>
        <w:jc w:val="center"/>
      </w:pPr>
      <w:r>
        <w:rPr>
          <w:b w:val="0"/>
        </w:rPr>
        <w:t>Bhadale IT | Concept and Engineering Direction | 20 October 2026</w:t>
      </w:r>
    </w:p>
    <w:p>
      <w:r>
        <w:br w:type="page"/>
      </w:r>
    </w:p>
    <w:p>
      <w:pPr>
        <w:pStyle w:val="Heading1"/>
      </w:pPr>
      <w:r>
        <w:t>1. Executive Summary</w:t>
      </w:r>
    </w:p>
    <w:p>
      <w:r>
        <w:rPr>
          <w:b w:val="0"/>
        </w:rPr>
        <w:t>Bhadale IT proposes a demand-driven QAI Data Centre as a Service (QAI-DCaaS) model. Authorised users in subsidiaries, research teams and project groups can request computing and experimentation environments according to a defined need. Subject to policy, availability, compatibility and approval, the platform provisions suitable resources, records execution evidence and releases or reassigns eligible resources when no longer needed.</w:t>
      </w:r>
    </w:p>
    <w:p>
      <w:r>
        <w:rPr>
          <w:b w:val="0"/>
        </w:rPr>
        <w:t>The model combines Just-in-Time (JIT) provisioning, sprint-based Agile execution, policy-controlled resource allocation and evidence-driven lifecycle management. It aims to reduce avoidable idle allocations and infrastructure duplication while improving project-level visibility of resource consumption and costs. Electricity and water benefits must be measured; they cannot be assumed from dynamic software deployment alone.</w:t>
      </w:r>
    </w:p>
    <w:p>
      <w:pPr>
        <w:pStyle w:val="Heading1"/>
      </w:pPr>
      <w:r>
        <w:t>2. Core Proposition and Workflow</w:t>
      </w:r>
    </w:p>
    <w:p>
      <w:r>
        <w:rPr>
          <w:b w:val="0"/>
        </w:rPr>
        <w:t>The service treats QAI infrastructure as a shared, demand-driven utility rather than requiring every subsidiary or project to maintain a permanently active environment.</w:t>
      </w:r>
    </w:p>
    <w:p>
      <w:pPr>
        <w:jc w:val="center"/>
      </w:pPr>
      <w:r>
        <w:rPr>
          <w:b/>
        </w:rPr>
        <w:t>REQUEST → ASSESS → PROVISION → EXPERIMENT → VALIDATE → RELEASE → REUSE</w:t>
      </w:r>
    </w:p>
    <w:p>
      <w:pPr>
        <w:pStyle w:val="ListNumber"/>
      </w:pPr>
      <w:r>
        <w:rPr>
          <w:b w:val="0"/>
        </w:rPr>
        <w:t>Demand identification: define the business need, research question, project or workload.</w:t>
      </w:r>
    </w:p>
    <w:p>
      <w:pPr>
        <w:pStyle w:val="ListNumber"/>
      </w:pPr>
      <w:r>
        <w:rPr>
          <w:b w:val="0"/>
        </w:rPr>
        <w:t>Environment request: specify capabilities, duration, budget, access controls and acceptance criteria.</w:t>
      </w:r>
    </w:p>
    <w:p>
      <w:pPr>
        <w:pStyle w:val="ListNumber"/>
      </w:pPr>
      <w:r>
        <w:rPr>
          <w:b w:val="0"/>
        </w:rPr>
        <w:t>Resource assessment: evaluate available compute, storage, networking, simulation and quantum-related resources.</w:t>
      </w:r>
    </w:p>
    <w:p>
      <w:pPr>
        <w:pStyle w:val="ListNumber"/>
      </w:pPr>
      <w:r>
        <w:rPr>
          <w:b w:val="0"/>
        </w:rPr>
        <w:t>Dynamic deployment: provision a suitable virtual or physical environment according to availability, policy and compatibility.</w:t>
      </w:r>
    </w:p>
    <w:p>
      <w:pPr>
        <w:pStyle w:val="ListNumber"/>
      </w:pPr>
      <w:r>
        <w:rPr>
          <w:b w:val="0"/>
        </w:rPr>
        <w:t>Sprint-based execution: conduct experiments, review results and complete sprint objectives.</w:t>
      </w:r>
    </w:p>
    <w:p>
      <w:pPr>
        <w:pStyle w:val="ListNumber"/>
      </w:pPr>
      <w:r>
        <w:rPr>
          <w:b w:val="0"/>
        </w:rPr>
        <w:t>Evidence and evaluation: record outcomes, resource consumption, costs, approvals and validation evidence.</w:t>
      </w:r>
    </w:p>
    <w:p>
      <w:pPr>
        <w:pStyle w:val="ListNumber"/>
      </w:pPr>
      <w:r>
        <w:rPr>
          <w:b w:val="0"/>
        </w:rPr>
        <w:t>Resource release: release, suspend or return eligible resources to the pool under policy.</w:t>
      </w:r>
    </w:p>
    <w:p>
      <w:pPr>
        <w:pStyle w:val="ListNumber"/>
      </w:pPr>
      <w:r>
        <w:rPr>
          <w:b w:val="0"/>
        </w:rPr>
        <w:t>Reuse: make released resources available to other authorised workloads where appropriate.</w:t>
      </w:r>
    </w:p>
    <w:p>
      <w:pPr>
        <w:pStyle w:val="Heading1"/>
      </w:pPr>
      <w:r>
        <w:t>3. Subsidiary Autonomy with Shared Resources</w:t>
      </w:r>
    </w:p>
    <w:p>
      <w:r>
        <w:rPr>
          <w:b w:val="0"/>
        </w:rPr>
        <w:t>The architecture separates logical independence from physical resource sharing. Each subsidiary can have its own workspace, project identity, permissions, budgets, data boundaries, approvals and experiment records. Eligible physical resources can be pooled and reassigned according to demand, subject to security, sovereignty, performance, compatibility and contractual constraints.</w:t>
      </w:r>
    </w:p>
    <w:tbl>
      <w:tblPr>
        <w:tblStyle w:val="TableGrid"/>
        <w:tblW w:type="auto" w:w="0"/>
        <w:tblLook w:firstColumn="1" w:firstRow="1" w:lastColumn="0" w:lastRow="0" w:noHBand="0" w:noVBand="1" w:val="04A0"/>
      </w:tblPr>
      <w:tblGrid>
        <w:gridCol w:w="4968"/>
        <w:gridCol w:w="4968"/>
      </w:tblGrid>
      <w:tr>
        <w:tc>
          <w:tcPr>
            <w:tcW w:type="dxa" w:w="4968"/>
          </w:tcPr>
          <w:p>
            <w:r>
              <w:rPr>
                <w:b/>
              </w:rPr>
              <w:t>Logical autonomy</w:t>
            </w:r>
          </w:p>
        </w:tc>
        <w:tc>
          <w:tcPr>
            <w:tcW w:type="dxa" w:w="4968"/>
          </w:tcPr>
          <w:p>
            <w:r>
              <w:rPr>
                <w:b/>
              </w:rPr>
              <w:t>Physical resource efficiency</w:t>
            </w:r>
          </w:p>
        </w:tc>
      </w:tr>
      <w:tr>
        <w:tc>
          <w:tcPr>
            <w:tcW w:type="dxa" w:w="4968"/>
          </w:tcPr>
          <w:p>
            <w:r>
              <w:t>Separate users, projects and permissions</w:t>
            </w:r>
          </w:p>
        </w:tc>
        <w:tc>
          <w:tcPr>
            <w:tcW w:type="dxa" w:w="4968"/>
          </w:tcPr>
          <w:p>
            <w:r>
              <w:t>Share eligible compute, storage and simulation capacity</w:t>
            </w:r>
          </w:p>
        </w:tc>
      </w:tr>
      <w:tr>
        <w:tc>
          <w:tcPr>
            <w:tcW w:type="dxa" w:w="4968"/>
          </w:tcPr>
          <w:p>
            <w:r>
              <w:t>Defined data and access boundaries</w:t>
            </w:r>
          </w:p>
        </w:tc>
        <w:tc>
          <w:tcPr>
            <w:tcW w:type="dxa" w:w="4968"/>
          </w:tcPr>
          <w:p>
            <w:r>
              <w:t>Allocate and release resources according to workload demand</w:t>
            </w:r>
          </w:p>
        </w:tc>
      </w:tr>
      <w:tr>
        <w:tc>
          <w:tcPr>
            <w:tcW w:type="dxa" w:w="4968"/>
          </w:tcPr>
          <w:p>
            <w:r>
              <w:t>Project-specific approvals and budgets</w:t>
            </w:r>
          </w:p>
        </w:tc>
        <w:tc>
          <w:tcPr>
            <w:tcW w:type="dxa" w:w="4968"/>
          </w:tcPr>
          <w:p>
            <w:r>
              <w:t>Reduce avoidable duplication and idle allocations</w:t>
            </w:r>
          </w:p>
        </w:tc>
      </w:tr>
      <w:tr>
        <w:tc>
          <w:tcPr>
            <w:tcW w:type="dxa" w:w="4968"/>
          </w:tcPr>
          <w:p>
            <w:r>
              <w:t>Traceable experiment evidence</w:t>
            </w:r>
          </w:p>
        </w:tc>
        <w:tc>
          <w:tcPr>
            <w:tcW w:type="dxa" w:w="4968"/>
          </w:tcPr>
          <w:p>
            <w:r>
              <w:t>Reuse resources across approved workloads</w:t>
            </w:r>
          </w:p>
        </w:tc>
      </w:tr>
    </w:tbl>
    <w:p>
      <w:pPr>
        <w:pStyle w:val="Heading1"/>
      </w:pPr>
      <w:r>
        <w:t>4. JIT + Agile + Demand-Based Utility</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Principle</w:t>
            </w:r>
          </w:p>
        </w:tc>
        <w:tc>
          <w:tcPr>
            <w:tcW w:type="dxa" w:w="3312"/>
          </w:tcPr>
          <w:p>
            <w:r>
              <w:rPr>
                <w:b/>
              </w:rPr>
              <w:t>Application</w:t>
            </w:r>
          </w:p>
        </w:tc>
        <w:tc>
          <w:tcPr>
            <w:tcW w:type="dxa" w:w="3312"/>
          </w:tcPr>
          <w:p>
            <w:r>
              <w:rPr>
                <w:b/>
              </w:rPr>
              <w:t>Potential contribution</w:t>
            </w:r>
          </w:p>
        </w:tc>
      </w:tr>
      <w:tr>
        <w:tc>
          <w:tcPr>
            <w:tcW w:type="dxa" w:w="3312"/>
          </w:tcPr>
          <w:p>
            <w:r>
              <w:t>Just-in-Time provisioning</w:t>
            </w:r>
          </w:p>
        </w:tc>
        <w:tc>
          <w:tcPr>
            <w:tcW w:type="dxa" w:w="3312"/>
          </w:tcPr>
          <w:p>
            <w:r>
              <w:t>Create or activate environments when needed; release when no longer justified.</w:t>
            </w:r>
          </w:p>
        </w:tc>
        <w:tc>
          <w:tcPr>
            <w:tcW w:type="dxa" w:w="3312"/>
          </w:tcPr>
          <w:p>
            <w:r>
              <w:t>Limits unnecessary resource allocation.</w:t>
            </w:r>
          </w:p>
        </w:tc>
      </w:tr>
      <w:tr>
        <w:tc>
          <w:tcPr>
            <w:tcW w:type="dxa" w:w="3312"/>
          </w:tcPr>
          <w:p>
            <w:r>
              <w:t>Agile delivery</w:t>
            </w:r>
          </w:p>
        </w:tc>
        <w:tc>
          <w:tcPr>
            <w:tcW w:type="dxa" w:w="3312"/>
          </w:tcPr>
          <w:p>
            <w:r>
              <w:t>Organise development and experimentation into manageable iterations.</w:t>
            </w:r>
          </w:p>
        </w:tc>
        <w:tc>
          <w:tcPr>
            <w:tcW w:type="dxa" w:w="3312"/>
          </w:tcPr>
          <w:p>
            <w:r>
              <w:t>Makes scope and results reviewable.</w:t>
            </w:r>
          </w:p>
        </w:tc>
      </w:tr>
      <w:tr>
        <w:tc>
          <w:tcPr>
            <w:tcW w:type="dxa" w:w="3312"/>
          </w:tcPr>
          <w:p>
            <w:r>
              <w:t>Sprint-based execution</w:t>
            </w:r>
          </w:p>
        </w:tc>
        <w:tc>
          <w:tcPr>
            <w:tcW w:type="dxa" w:w="3312"/>
          </w:tcPr>
          <w:p>
            <w:r>
              <w:t>Associate resource needs with sprint objectives and acceptance criteria.</w:t>
            </w:r>
          </w:p>
        </w:tc>
        <w:tc>
          <w:tcPr>
            <w:tcW w:type="dxa" w:w="3312"/>
          </w:tcPr>
          <w:p>
            <w:r>
              <w:t>Improves planning and accountability.</w:t>
            </w:r>
          </w:p>
        </w:tc>
      </w:tr>
      <w:tr>
        <w:tc>
          <w:tcPr>
            <w:tcW w:type="dxa" w:w="3312"/>
          </w:tcPr>
          <w:p>
            <w:r>
              <w:t>Demand-based utility</w:t>
            </w:r>
          </w:p>
        </w:tc>
        <w:tc>
          <w:tcPr>
            <w:tcW w:type="dxa" w:w="3312"/>
          </w:tcPr>
          <w:p>
            <w:r>
              <w:t>Allocate eligible resources according to workload requirements rather than permanent assignment.</w:t>
            </w:r>
          </w:p>
        </w:tc>
        <w:tc>
          <w:tcPr>
            <w:tcW w:type="dxa" w:w="3312"/>
          </w:tcPr>
          <w:p>
            <w:r>
              <w:t>Improves utilisation and cost visibility.</w:t>
            </w:r>
          </w:p>
        </w:tc>
      </w:tr>
      <w:tr>
        <w:tc>
          <w:tcPr>
            <w:tcW w:type="dxa" w:w="3312"/>
          </w:tcPr>
          <w:p>
            <w:r>
              <w:t>Evidence-driven governance</w:t>
            </w:r>
          </w:p>
        </w:tc>
        <w:tc>
          <w:tcPr>
            <w:tcW w:type="dxa" w:w="3312"/>
          </w:tcPr>
          <w:p>
            <w:r>
              <w:t>Record approvals, outcomes, costs and consumption.</w:t>
            </w:r>
          </w:p>
        </w:tc>
        <w:tc>
          <w:tcPr>
            <w:tcW w:type="dxa" w:w="3312"/>
          </w:tcPr>
          <w:p>
            <w:r>
              <w:t>Supports auditability and decisions.</w:t>
            </w:r>
          </w:p>
        </w:tc>
      </w:tr>
      <w:tr>
        <w:tc>
          <w:tcPr>
            <w:tcW w:type="dxa" w:w="3312"/>
          </w:tcPr>
          <w:p>
            <w:r>
              <w:t>Continuous improvement</w:t>
            </w:r>
          </w:p>
        </w:tc>
        <w:tc>
          <w:tcPr>
            <w:tcW w:type="dxa" w:w="3312"/>
          </w:tcPr>
          <w:p>
            <w:r>
              <w:t>Use measured outcomes to refine scheduling and allocation.</w:t>
            </w:r>
          </w:p>
        </w:tc>
        <w:tc>
          <w:tcPr>
            <w:tcW w:type="dxa" w:w="3312"/>
          </w:tcPr>
          <w:p>
            <w:r>
              <w:t>Enables iterative optimisation.</w:t>
            </w:r>
          </w:p>
        </w:tc>
      </w:tr>
    </w:tbl>
    <w:p>
      <w:pPr>
        <w:pStyle w:val="Heading1"/>
      </w:pPr>
      <w:r>
        <w:t>5. Illustrative Sprint Example</w:t>
      </w:r>
    </w:p>
    <w:p>
      <w:r>
        <w:rPr>
          <w:b w:val="0"/>
        </w:rPr>
        <w:t>A subsidiary wants to evaluate an optimisation algorithm over a two-week research sprint. The environment need not run continuously for the full two weeks; execution can be scheduled around actual experiment requirements unless continuous operation is technically necessary.</w:t>
      </w:r>
    </w:p>
    <w:p>
      <w:pPr>
        <w:pStyle w:val="ListBullet"/>
      </w:pPr>
      <w:r>
        <w:rPr>
          <w:b w:val="0"/>
        </w:rPr>
        <w:t>Before the sprint: define the research question, acceptance criteria and classical baseline; estimate resource needs; set a budget; request approval.</w:t>
      </w:r>
    </w:p>
    <w:p>
      <w:pPr>
        <w:pStyle w:val="ListBullet"/>
      </w:pPr>
      <w:r>
        <w:rPr>
          <w:b w:val="0"/>
        </w:rPr>
        <w:t>During the sprint: provision the environment, execute baseline and candidate experiments, record performance and consumption, and adjust resources where justified.</w:t>
      </w:r>
    </w:p>
    <w:p>
      <w:pPr>
        <w:pStyle w:val="ListBullet"/>
      </w:pPr>
      <w:r>
        <w:rPr>
          <w:b w:val="0"/>
        </w:rPr>
        <w:t>At sprint completion: validate and preserve results, compare performance and cost against the baseline, capture evidence, and release temporary resources or retain only those justified for the next sprint.</w:t>
      </w:r>
    </w:p>
    <w:p>
      <w:pPr>
        <w:pStyle w:val="Heading1"/>
      </w:pPr>
      <w:r>
        <w:t>6. Potential Benefits and Qualifications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Area</w:t>
            </w:r>
          </w:p>
        </w:tc>
        <w:tc>
          <w:tcPr>
            <w:tcW w:type="dxa" w:w="3312"/>
          </w:tcPr>
          <w:p>
            <w:r>
              <w:rPr>
                <w:b/>
              </w:rPr>
              <w:t>Potential benefit</w:t>
            </w:r>
          </w:p>
        </w:tc>
        <w:tc>
          <w:tcPr>
            <w:tcW w:type="dxa" w:w="3312"/>
          </w:tcPr>
          <w:p>
            <w:r>
              <w:rPr>
                <w:b/>
              </w:rPr>
              <w:t>Qualification / evidence needed</w:t>
            </w:r>
          </w:p>
        </w:tc>
      </w:tr>
      <w:tr>
        <w:tc>
          <w:tcPr>
            <w:tcW w:type="dxa" w:w="3312"/>
          </w:tcPr>
          <w:p>
            <w:r>
              <w:t>Idle environments</w:t>
            </w:r>
          </w:p>
        </w:tc>
        <w:tc>
          <w:tcPr>
            <w:tcW w:type="dxa" w:w="3312"/>
          </w:tcPr>
          <w:p>
            <w:r>
              <w:t>Suspend or release eligible resources when inactive.</w:t>
            </w:r>
          </w:p>
        </w:tc>
        <w:tc>
          <w:tcPr>
            <w:tcW w:type="dxa" w:w="3312"/>
          </w:tcPr>
          <w:p>
            <w:r>
              <w:t>Measure idle allocations and release rates.</w:t>
            </w:r>
          </w:p>
        </w:tc>
      </w:tr>
      <w:tr>
        <w:tc>
          <w:tcPr>
            <w:tcW w:type="dxa" w:w="3312"/>
          </w:tcPr>
          <w:p>
            <w:r>
              <w:t>Electricity</w:t>
            </w:r>
          </w:p>
        </w:tc>
        <w:tc>
          <w:tcPr>
            <w:tcW w:type="dxa" w:w="3312"/>
          </w:tcPr>
          <w:p>
            <w:r>
              <w:t>Reduce avoidable compute activity and unnecessary always-on workloads.</w:t>
            </w:r>
          </w:p>
        </w:tc>
        <w:tc>
          <w:tcPr>
            <w:tcW w:type="dxa" w:w="3312"/>
          </w:tcPr>
          <w:p>
            <w:r>
              <w:t>Shared services and physical infrastructure may continue consuming power; define measurement boundaries.</w:t>
            </w:r>
          </w:p>
        </w:tc>
      </w:tr>
      <w:tr>
        <w:tc>
          <w:tcPr>
            <w:tcW w:type="dxa" w:w="3312"/>
          </w:tcPr>
          <w:p>
            <w:r>
              <w:t>Water and cooling</w:t>
            </w:r>
          </w:p>
        </w:tc>
        <w:tc>
          <w:tcPr>
            <w:tcW w:type="dxa" w:w="3312"/>
          </w:tcPr>
          <w:p>
            <w:r>
              <w:t>Lower cooling demand where equipment can genuinely operate at lower capacity or be powered down.</w:t>
            </w:r>
          </w:p>
        </w:tc>
        <w:tc>
          <w:tcPr>
            <w:tcW w:type="dxa" w:w="3312"/>
          </w:tcPr>
          <w:p>
            <w:r>
              <w:t>Software release alone does not prove water savings; facility and cooling controls matter.</w:t>
            </w:r>
          </w:p>
        </w:tc>
      </w:tr>
      <w:tr>
        <w:tc>
          <w:tcPr>
            <w:tcW w:type="dxa" w:w="3312"/>
          </w:tcPr>
          <w:p>
            <w:r>
              <w:t>Infrastructure duplication</w:t>
            </w:r>
          </w:p>
        </w:tc>
        <w:tc>
          <w:tcPr>
            <w:tcW w:type="dxa" w:w="3312"/>
          </w:tcPr>
          <w:p>
            <w:r>
              <w:t>Share eligible resources across subsidiaries.</w:t>
            </w:r>
          </w:p>
        </w:tc>
        <w:tc>
          <w:tcPr>
            <w:tcW w:type="dxa" w:w="3312"/>
          </w:tcPr>
          <w:p>
            <w:r>
              <w:t>Observe security, data, performance and contractual restrictions.</w:t>
            </w:r>
          </w:p>
        </w:tc>
      </w:tr>
      <w:tr>
        <w:tc>
          <w:tcPr>
            <w:tcW w:type="dxa" w:w="3312"/>
          </w:tcPr>
          <w:p>
            <w:r>
              <w:t>Project costs</w:t>
            </w:r>
          </w:p>
        </w:tc>
        <w:tc>
          <w:tcPr>
            <w:tcW w:type="dxa" w:w="3312"/>
          </w:tcPr>
          <w:p>
            <w:r>
              <w:t>Attribute eligible consumption and costs to projects and experiments.</w:t>
            </w:r>
          </w:p>
        </w:tc>
        <w:tc>
          <w:tcPr>
            <w:tcW w:type="dxa" w:w="3312"/>
          </w:tcPr>
          <w:p>
            <w:r>
              <w:t>Define cost allocation and treatment of shared costs.</w:t>
            </w:r>
          </w:p>
        </w:tc>
      </w:tr>
      <w:tr>
        <w:tc>
          <w:tcPr>
            <w:tcW w:type="dxa" w:w="3312"/>
          </w:tcPr>
          <w:p>
            <w:r>
              <w:t>Quantum resources</w:t>
            </w:r>
          </w:p>
        </w:tc>
        <w:tc>
          <w:tcPr>
            <w:tcW w:type="dxa" w:w="3312"/>
          </w:tcPr>
          <w:p>
            <w:r>
              <w:t>Use simulators, emulators or shared/remote QPU access where appropriate.</w:t>
            </w:r>
          </w:p>
        </w:tc>
        <w:tc>
          <w:tcPr>
            <w:tcW w:type="dxa" w:w="3312"/>
          </w:tcPr>
          <w:p>
            <w:r>
              <w:t>Calibration, cryogenic operation, availability and device constraints may limit shutdown or sharing.</w:t>
            </w:r>
          </w:p>
        </w:tc>
      </w:tr>
    </w:tbl>
    <w:p>
      <w:pPr>
        <w:pStyle w:val="Heading1"/>
      </w:pPr>
      <w:r>
        <w:t>7. Proposed Platform Capabilities</w:t>
      </w:r>
    </w:p>
    <w:p>
      <w:pPr>
        <w:pStyle w:val="ListBullet"/>
      </w:pPr>
      <w:r>
        <w:rPr>
          <w:b w:val="0"/>
        </w:rPr>
        <w:t>Project and Subsidiary Management — manage identity, users, projects, permissions, budgets and governance boundaries.</w:t>
      </w:r>
    </w:p>
    <w:p>
      <w:pPr>
        <w:pStyle w:val="ListBullet"/>
      </w:pPr>
      <w:r>
        <w:rPr>
          <w:b w:val="0"/>
        </w:rPr>
        <w:t>Demand and Resource Request Management — capture capabilities, workload requirements, duration, priority, budget and acceptance criteria.</w:t>
      </w:r>
    </w:p>
    <w:p>
      <w:pPr>
        <w:pStyle w:val="ListBullet"/>
      </w:pPr>
      <w:r>
        <w:rPr>
          <w:b w:val="0"/>
        </w:rPr>
        <w:t>Resource Discovery and Compatibility — discover resources and assess technical, policy and contractual suitability.</w:t>
      </w:r>
    </w:p>
    <w:p>
      <w:pPr>
        <w:pStyle w:val="ListBullet"/>
      </w:pPr>
      <w:r>
        <w:rPr>
          <w:b w:val="0"/>
        </w:rPr>
        <w:t>Dynamic Deployment Operator — prepare deployment plans and perform controlled, approved execution.</w:t>
      </w:r>
    </w:p>
    <w:p>
      <w:pPr>
        <w:pStyle w:val="ListBullet"/>
      </w:pPr>
      <w:r>
        <w:rPr>
          <w:b w:val="0"/>
        </w:rPr>
        <w:t>Experiment and Sprint Management — coordinate experiments, sprint objectives, results and evidence.</w:t>
      </w:r>
    </w:p>
    <w:p>
      <w:pPr>
        <w:pStyle w:val="ListBullet"/>
      </w:pPr>
      <w:r>
        <w:rPr>
          <w:b w:val="0"/>
        </w:rPr>
        <w:t>Resource Lifecycle and Cost Management — track allocation, utilisation, idle time, consumption, release, reuse and project-level costs.</w:t>
      </w:r>
    </w:p>
    <w:p>
      <w:pPr>
        <w:pStyle w:val="Heading1"/>
      </w:pPr>
      <w:r>
        <w:t>8. Deployment Lifecycle and States</w:t>
      </w:r>
    </w:p>
    <w:p>
      <w:r>
        <w:rPr>
          <w:b w:val="0"/>
        </w:rPr>
        <w:t>Extend the existing QAI Deployment Operator rather than introducing a parallel deployment architecture. Retain the lifecycle: workload definition → resource discovery → compatibility assessment → deployment plan → approval and execution → evidence capture. Connect demand management, resource release and reuse to this lifecycle.</w:t>
      </w:r>
    </w:p>
    <w:p>
      <w:pPr>
        <w:jc w:val="center"/>
      </w:pPr>
      <w:r>
        <w:rPr>
          <w:b/>
        </w:rPr>
        <w:t>REQUESTED → ASSESSED → APPROVED → PROVISIONING → ACTIVE → SUSPENDED / COMPLETED → RELEASED</w:t>
      </w:r>
    </w:p>
    <w:p>
      <w:r>
        <w:rPr>
          <w:b w:val="0"/>
        </w:rPr>
        <w:t>Also handle cancellation, failed provisioning, recovery and approval exceptions. Not every workload must pass through every state.</w:t>
      </w:r>
    </w:p>
    <w:p>
      <w:pPr>
        <w:pStyle w:val="Heading1"/>
      </w:pPr>
      <w:r>
        <w:t>9. Measurement and Evidence Framework</w:t>
      </w:r>
    </w:p>
    <w:p>
      <w:pPr>
        <w:pStyle w:val="ListBullet"/>
      </w:pPr>
      <w:r>
        <w:rPr>
          <w:b w:val="0"/>
        </w:rPr>
        <w:t>Resource utilisation: allocated versus used compute; project-attributable idle time; eligible environment release rate; reuse across projects.</w:t>
      </w:r>
    </w:p>
    <w:p>
      <w:pPr>
        <w:pStyle w:val="ListBullet"/>
      </w:pPr>
      <w:r>
        <w:rPr>
          <w:b w:val="0"/>
        </w:rPr>
        <w:t>Economics: cost per experiment and sprint; cost of inactive environments; cost per successful workload; savings against a defined baseline.</w:t>
      </w:r>
    </w:p>
    <w:p>
      <w:pPr>
        <w:pStyle w:val="ListBullet"/>
      </w:pPr>
      <w:r>
        <w:rPr>
          <w:b w:val="0"/>
        </w:rPr>
        <w:t>Energy and water: energy per workload where measurable; energy attributable to idle resources; relevant facility water consumption; changes attributable to scheduling and equipment controls.</w:t>
      </w:r>
    </w:p>
    <w:p>
      <w:pPr>
        <w:pStyle w:val="ListBullet"/>
      </w:pPr>
      <w:r>
        <w:rPr>
          <w:b w:val="0"/>
        </w:rPr>
        <w:t>Delivery: time from approved request to environment availability; deployment success; experiment completion; resource-release time; reproducibility and evidence completeness.</w:t>
      </w:r>
    </w:p>
    <w:p>
      <w:r>
        <w:rPr>
          <w:b w:val="0"/>
        </w:rPr>
        <w:t>Comparisons should use a documented baseline and consistent measurement boundaries. Modelled savings must be reported separately from measured savings.</w:t>
      </w:r>
    </w:p>
    <w:p>
      <w:pPr>
        <w:pStyle w:val="Heading1"/>
      </w:pPr>
      <w:r>
        <w:t>10. Relevance to Australian Government Priorities</w:t>
      </w:r>
    </w:p>
    <w:p>
      <w:r>
        <w:rPr>
          <w:b w:val="0"/>
        </w:rPr>
        <w:t>The model can be mapped to Australia's stated expectations for data-centre and AI infrastructure: national interest, energy transition, sustainable water use, Australian skills and jobs, and research and local capability. Alignment must be demonstrated with evidence; it is not automatic compliance, funding eligibility or a procurement commitment.</w:t>
      </w:r>
    </w:p>
    <w:tbl>
      <w:tblPr>
        <w:tblStyle w:val="TableGrid"/>
        <w:tblW w:type="auto" w:w="0"/>
        <w:tblLook w:firstColumn="1" w:firstRow="1" w:lastColumn="0" w:lastRow="0" w:noHBand="0" w:noVBand="1" w:val="04A0"/>
      </w:tblPr>
      <w:tblGrid>
        <w:gridCol w:w="4968"/>
        <w:gridCol w:w="4968"/>
      </w:tblGrid>
      <w:tr>
        <w:tc>
          <w:tcPr>
            <w:tcW w:type="dxa" w:w="4968"/>
          </w:tcPr>
          <w:p>
            <w:r>
              <w:rPr>
                <w:b/>
              </w:rPr>
              <w:t>Policy area</w:t>
            </w:r>
          </w:p>
        </w:tc>
        <w:tc>
          <w:tcPr>
            <w:tcW w:type="dxa" w:w="4968"/>
          </w:tcPr>
          <w:p>
            <w:r>
              <w:rPr>
                <w:b/>
              </w:rPr>
              <w:t>Potential evidence</w:t>
            </w:r>
          </w:p>
        </w:tc>
      </w:tr>
      <w:tr>
        <w:tc>
          <w:tcPr>
            <w:tcW w:type="dxa" w:w="4968"/>
          </w:tcPr>
          <w:p>
            <w:r>
              <w:t>National interest and governance</w:t>
            </w:r>
          </w:p>
        </w:tc>
        <w:tc>
          <w:tcPr>
            <w:tcW w:type="dxa" w:w="4968"/>
          </w:tcPr>
          <w:p>
            <w:r>
              <w:t>Architecture, access-control tests, data-flow maps, threat assessment and responsibility matrix.</w:t>
            </w:r>
          </w:p>
        </w:tc>
      </w:tr>
      <w:tr>
        <w:tc>
          <w:tcPr>
            <w:tcW w:type="dxa" w:w="4968"/>
          </w:tcPr>
          <w:p>
            <w:r>
              <w:t>Energy</w:t>
            </w:r>
          </w:p>
        </w:tc>
        <w:tc>
          <w:tcPr>
            <w:tcW w:type="dxa" w:w="4968"/>
          </w:tcPr>
          <w:p>
            <w:r>
              <w:t>Measured or modelled energy use, baseline comparison, peak-demand profile and assumptions.</w:t>
            </w:r>
          </w:p>
        </w:tc>
      </w:tr>
      <w:tr>
        <w:tc>
          <w:tcPr>
            <w:tcW w:type="dxa" w:w="4968"/>
          </w:tcPr>
          <w:p>
            <w:r>
              <w:t>Water</w:t>
            </w:r>
          </w:p>
        </w:tc>
        <w:tc>
          <w:tcPr>
            <w:tcW w:type="dxa" w:w="4968"/>
          </w:tcPr>
          <w:p>
            <w:r>
              <w:t>Water-demand model, cooling assumptions, resilience assessment and site-specific data where available.</w:t>
            </w:r>
          </w:p>
        </w:tc>
      </w:tr>
      <w:tr>
        <w:tc>
          <w:tcPr>
            <w:tcW w:type="dxa" w:w="4968"/>
          </w:tcPr>
          <w:p>
            <w:r>
              <w:t>Skills and jobs</w:t>
            </w:r>
          </w:p>
        </w:tc>
        <w:tc>
          <w:tcPr>
            <w:tcW w:type="dxa" w:w="4968"/>
          </w:tcPr>
          <w:p>
            <w:r>
              <w:t>Australian workforce and training plan, proposed roles and partner commitments.</w:t>
            </w:r>
          </w:p>
        </w:tc>
      </w:tr>
      <w:tr>
        <w:tc>
          <w:tcPr>
            <w:tcW w:type="dxa" w:w="4968"/>
          </w:tcPr>
          <w:p>
            <w:r>
              <w:t>Research and local capability</w:t>
            </w:r>
          </w:p>
        </w:tc>
        <w:tc>
          <w:tcPr>
            <w:tcW w:type="dxa" w:w="4968"/>
          </w:tcPr>
          <w:p>
            <w:r>
              <w:t>Working demonstration, access model, experiment results, research-partner plan and cost assumptions.</w:t>
            </w:r>
          </w:p>
        </w:tc>
      </w:tr>
    </w:tbl>
    <w:p>
      <w:pPr>
        <w:pStyle w:val="Heading1"/>
      </w:pPr>
      <w:r>
        <w:t>11. Implementation Roadmap</w:t>
      </w:r>
    </w:p>
    <w:p>
      <w:pPr>
        <w:pStyle w:val="ListNumber"/>
      </w:pPr>
      <w:r>
        <w:rPr>
          <w:b w:val="0"/>
        </w:rPr>
        <w:t>Stabilise the engineering foundation: continue Phase 2 Deployment Operator work and demonstrate discovery, compatibility assessment, planning, approval and evidence capture using virtual resources and simulated backends.</w:t>
      </w:r>
    </w:p>
    <w:p>
      <w:pPr>
        <w:pStyle w:val="ListNumber"/>
      </w:pPr>
      <w:r>
        <w:rPr>
          <w:b w:val="0"/>
        </w:rPr>
        <w:t>Add demand and lifecycle management: define project-scoped requests, lifecycle states, allocation policies, release/reuse controls and project cost records.</w:t>
      </w:r>
    </w:p>
    <w:p>
      <w:pPr>
        <w:pStyle w:val="ListNumber"/>
      </w:pPr>
      <w:r>
        <w:rPr>
          <w:b w:val="0"/>
        </w:rPr>
        <w:t>Demonstrate the workflow: run a reproducible virtual workload from request through provisioning, experiment, validation and release.</w:t>
      </w:r>
    </w:p>
    <w:p>
      <w:pPr>
        <w:pStyle w:val="ListNumber"/>
      </w:pPr>
      <w:r>
        <w:rPr>
          <w:b w:val="0"/>
        </w:rPr>
        <w:t>Measure benefits: establish baselines and report utilisation, cost and, where measurable, energy and water indicators.</w:t>
      </w:r>
    </w:p>
    <w:p>
      <w:pPr>
        <w:pStyle w:val="ListNumber"/>
      </w:pPr>
      <w:r>
        <w:rPr>
          <w:b w:val="0"/>
        </w:rPr>
        <w:t>Prepare a partner-hosted pilot: identify a customer problem, delivery partner, budget, infrastructure dependencies and governance requirements before moving to physical resources.</w:t>
      </w:r>
    </w:p>
    <w:p>
      <w:pPr>
        <w:pStyle w:val="Heading1"/>
      </w:pPr>
      <w:r>
        <w:t>12. Recommended Positioning Statement</w:t>
      </w:r>
    </w:p>
    <w:p>
      <w:r>
        <w:rPr>
          <w:b w:val="0"/>
        </w:rPr>
        <w:t>Bhadale IT proposes a demand-driven QAI Data Centre as a Service model that enables authorised subsidiaries, research teams and project owners to request computing and experimentation environments according to their actual needs. The platform combines Just-in-Time resource provisioning, sprint-based Agile execution, policy-controlled resource allocation and evidence-driven lifecycle management. Eligible resources can be provisioned for defined projects, monitored during execution and released or reassigned when no longer required.</w:t>
      </w:r>
    </w:p>
    <w:p>
      <w:r>
        <w:rPr>
          <w:b w:val="0"/>
        </w:rPr>
        <w:t>This approach is designed to reduce unnecessary idle allocations, avoid infrastructure duplication and improve visibility into project-level resource consumption and costs. Where supported by the underlying facility and equipment, workload scheduling and resource lifecycle controls can also contribute to reduced electricity consumption and cooling demand.</w:t>
      </w:r>
    </w:p>
    <w:p>
      <w:r>
        <w:rPr>
          <w:b w:val="0"/>
        </w:rPr>
        <w:t>The model supports logically independent subsidiary environments while allowing eligible physical infrastructure to be shared under defined security, data-governance, compatibility and operational policies. It can begin with virtual infrastructure and simulated quantum backends, progress to partner-hosted deployments, and extend to dedicated hybrid classical–quantum infrastructure as technical validation, customer demand and investment readiness justify expansion. Environmental and economic benefits will be evaluated through measurable indicators rather than assumed in advance.</w:t>
      </w:r>
    </w:p>
    <w:p>
      <w:pPr>
        <w:pStyle w:val="Heading1"/>
      </w:pPr>
      <w:r>
        <w:t>13. Immediate Engineering Recommendation</w:t>
      </w:r>
    </w:p>
    <w:p>
      <w:r>
        <w:rPr>
          <w:b w:val="0"/>
        </w:rPr>
        <w:t>Represent demand-driven provisioning in the existing Deployment Operator and lifecycle models. Introduce a project-scoped resource request; define policy and compatibility checks; record allocation, utilisation and cost; demonstrate release and reuse with virtual workloads; and preserve reproducible evidence. This turns the service concept into a testable capability before claims are made about savings at physical data-centre scale.</w:t>
      </w:r>
    </w:p>
    <w:p>
      <w:pPr>
        <w:pStyle w:val="Heading1"/>
      </w:pPr>
      <w:r>
        <w:t>14. Reference and Policy Context</w:t>
      </w:r>
    </w:p>
    <w:p>
      <w:r>
        <w:rPr>
          <w:b w:val="0"/>
        </w:rPr>
        <w:t>Australian Government — Expectations of data centres and AI infrastructure developers: https://www.industry.gov.au/publications/expectations-data-centres-and-ai-infrastructure-developers</w:t>
      </w:r>
    </w:p>
    <w:p>
      <w:r>
        <w:rPr>
          <w:b w:val="0"/>
        </w:rPr>
        <w:t>Australian Government — Getting it right: Building AI infrastructure that works for Australia (September 2026 consultation paper): https://www.pmc.gov.au/resources/getting-it-right-building-ai-infrastructure-works-australia</w:t>
      </w:r>
    </w:p>
    <w:p>
      <w:r>
        <w:rPr>
          <w:b w:val="0"/>
        </w:rPr>
        <w:t>Australian Government — Joint media release on an Australian approach to AI and expectations for data centres: https://minister.dcceew.gov.au/bowen/media-releases/joint-media-release-australian-approach-ai-expectations-data-centres-deliver-australians</w:t>
      </w:r>
    </w:p>
    <w:p>
      <w:r>
        <w:rPr>
          <w:b w:val="0"/>
        </w:rPr>
        <w:t>Note: Recheck policy status and project applicability before formal submission. This document describes a proposed service model; it does not claim production readiness, certification, government endorsement or guaranteed environmental savings.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Demand-Driven QAI Infrastructure • Concept and Engineering Direction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BHADALE IT  |  QAI DATA CENTRE AS A SERVICE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