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8235"/>
        </w:rPr>
        <w:t>BHADALE IT | HOLDCO</w:t>
      </w:r>
    </w:p>
    <w:p>
      <w:pPr>
        <w:pStyle w:val="Title"/>
        <w:jc w:val="center"/>
      </w:pPr>
      <w:r>
        <w:t>QAI Data Center as a Service</w:t>
      </w:r>
    </w:p>
    <w:p>
      <w:pPr>
        <w:jc w:val="center"/>
      </w:pPr>
      <w:r>
        <w:rPr>
          <w:b/>
          <w:sz w:val="30"/>
        </w:rPr>
        <w:t>Australian Policy Alignment &amp; VS Code HoldCo Implementation Plan</w:t>
      </w:r>
    </w:p>
    <w:p>
      <w:pPr>
        <w:jc w:val="center"/>
      </w:pPr>
      <w:r>
        <w:rPr>
          <w:i/>
        </w:rPr>
        <w:t>Practical repository structure, governance, work packages and evidence model</w:t>
      </w:r>
    </w:p>
    <w:p>
      <w:r>
        <w:t>Version 1.0 | 20 October 2026 | Internal planning document</w:t>
      </w:r>
    </w:p>
    <w:p>
      <w:r>
        <w:rPr>
          <w:b/>
          <w:color w:val="0070C0"/>
        </w:rPr>
        <w:t xml:space="preserve">Purpose: </w:t>
      </w:r>
      <w:r>
        <w:t>Translate Australian AI, quantum, data-centre, energy, water, local-client and domain priorities into practical engineering and commercial work in the existing HoldCo repository—without duplicating architecture or overstating readiness.</w:t>
      </w:r>
    </w:p>
    <w:p>
      <w:r>
        <w:br w:type="page"/>
      </w:r>
    </w:p>
    <w:p>
      <w:pPr>
        <w:pStyle w:val="Heading1"/>
      </w:pPr>
      <w:r>
        <w:t>1. Executive summary</w:t>
      </w:r>
    </w:p>
    <w:p>
      <w:r>
        <w:t>Treat national strategies, regulatory expectations, technical frameworks and client requirements as inputs to one governed delivery model, not disconnected policy documents. The HoldCo Board aligns national priorities with client demand and investment; programmes/projects turn choices into work packages; QAI platform and QAI-DCaaS provide engineering, deployment, validation and lifecycle capabilities.</w:t>
      </w:r>
    </w:p>
    <w:p>
      <w:pPr>
        <w:pStyle w:val="ListBullet"/>
      </w:pPr>
      <w:r>
        <w:t>Policy lenses: National AI Plan; National Quantum Strategy; Australian Government expectations for data centres and AI infrastructure; state/territory, energy, water, planning, cyber, privacy, procurement and sector requirements.</w:t>
      </w:r>
    </w:p>
    <w:p>
      <w:pPr>
        <w:pStyle w:val="ListBullet"/>
      </w:pPr>
      <w:r>
        <w:t>Practical focus: AI; quantum/hybrid compute; infrastructure; electricity and flexibility; water/cooling; client purpose; domains; workforce; sovereignty/security; community impact; lifecycle economics.</w:t>
      </w:r>
    </w:p>
    <w:p>
      <w:pPr>
        <w:pStyle w:val="ListBullet"/>
      </w:pPr>
      <w:r>
        <w:t>Translate each applicable expectation into a requirement/design decision, owner, work package, evidence, stage gate and review date.</w:t>
      </w:r>
    </w:p>
    <w:p>
      <w:pPr>
        <w:pStyle w:val="ListBullet"/>
      </w:pPr>
      <w:r>
        <w:t>Engineering priority: stabilise the existing QAI Deployment Operator (Phase 2) before expanding commercial operations or automating unproven runtime behaviour.</w:t>
      </w:r>
    </w:p>
    <w:p>
      <w:pPr>
        <w:pStyle w:val="ListBullet"/>
      </w:pPr>
      <w:r>
        <w:t>Separate existing/tested, demonstrated, experimental, planned and third-party-dependent capabilities. Mapping is not proof of compliance, certification, funding eligibility or government endorsement.</w:t>
      </w:r>
    </w:p>
    <w:p>
      <w:r>
        <w:rPr>
          <w:b/>
          <w:color w:val="0070C0"/>
        </w:rPr>
        <w:t xml:space="preserve">Outcome: </w:t>
      </w:r>
      <w:r>
        <w:t>Traceability from policy/client need to architecture, deployment, evidence, service outcome and investment decision.</w:t>
      </w:r>
    </w:p>
    <w:p>
      <w:pPr>
        <w:pStyle w:val="Heading1"/>
      </w:pPr>
      <w:r>
        <w:t>2. Policy and framework baseline</w:t>
      </w:r>
    </w:p>
    <w:p>
      <w:r>
        <w:t>Official sources below should be rechecked before a bid, investment case, regulatory application or funding proposal.</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Source / status</w:t>
            </w:r>
          </w:p>
        </w:tc>
        <w:tc>
          <w:tcPr>
            <w:tcW w:type="dxa" w:w="3408"/>
            <w:shd w:fill="17365D"/>
          </w:tcPr>
          <w:p>
            <w:r>
              <w:rPr>
                <w:b/>
                <w:color w:val="FFFFFF"/>
                <w:sz w:val="16"/>
              </w:rPr>
              <w:t>Contribution</w:t>
            </w:r>
          </w:p>
        </w:tc>
        <w:tc>
          <w:tcPr>
            <w:tcW w:type="dxa" w:w="3408"/>
            <w:shd w:fill="17365D"/>
          </w:tcPr>
          <w:p>
            <w:r>
              <w:rPr>
                <w:b/>
                <w:color w:val="FFFFFF"/>
                <w:sz w:val="16"/>
              </w:rPr>
              <w:t>Practical QAI-DCaaS response</w:t>
            </w:r>
          </w:p>
        </w:tc>
      </w:tr>
      <w:tr>
        <w:tc>
          <w:tcPr>
            <w:tcW w:type="dxa" w:w="3408"/>
          </w:tcPr>
          <w:p>
            <w:pPr>
              <w:spacing w:after="20"/>
            </w:pPr>
            <w:r>
              <w:rPr>
                <w:sz w:val="15"/>
              </w:rPr>
              <w:t>National AI Plan (launched Dec 2025)</w:t>
            </w:r>
          </w:p>
        </w:tc>
        <w:tc>
          <w:tcPr>
            <w:tcW w:type="dxa" w:w="3408"/>
          </w:tcPr>
          <w:p>
            <w:pPr>
              <w:spacing w:after="20"/>
            </w:pPr>
            <w:r>
              <w:rPr>
                <w:sz w:val="15"/>
              </w:rPr>
              <w:t>Capture AI opportunities; spread benefits; keep Australians safe. Infrastructure, domestic capability, adoption, skills, public services and responsible practices.</w:t>
            </w:r>
          </w:p>
        </w:tc>
        <w:tc>
          <w:tcPr>
            <w:tcW w:type="dxa" w:w="3408"/>
          </w:tcPr>
          <w:p>
            <w:pPr>
              <w:spacing w:after="20"/>
            </w:pPr>
            <w:r>
              <w:rPr>
                <w:sz w:val="15"/>
              </w:rPr>
              <w:t>Map use cases to client outcomes; document skills transfer, safety/security controls and pilot-to-scale path.</w:t>
            </w:r>
          </w:p>
        </w:tc>
      </w:tr>
      <w:tr>
        <w:tc>
          <w:tcPr>
            <w:tcW w:type="dxa" w:w="3408"/>
          </w:tcPr>
          <w:p>
            <w:pPr>
              <w:spacing w:after="20"/>
            </w:pPr>
            <w:r>
              <w:rPr>
                <w:sz w:val="15"/>
              </w:rPr>
              <w:t>National Quantum Strategy (3 May 2023)</w:t>
            </w:r>
          </w:p>
        </w:tc>
        <w:tc>
          <w:tcPr>
            <w:tcW w:type="dxa" w:w="3408"/>
          </w:tcPr>
          <w:p>
            <w:pPr>
              <w:spacing w:after="20"/>
            </w:pPr>
            <w:r>
              <w:rPr>
                <w:sz w:val="15"/>
              </w:rPr>
              <w:t>R&amp;D/investment/use; quantum infrastructure/materials; workforce; standards/frameworks; trusted, ethical and inclusive ecosystem.</w:t>
            </w:r>
          </w:p>
        </w:tc>
        <w:tc>
          <w:tcPr>
            <w:tcW w:type="dxa" w:w="3408"/>
          </w:tcPr>
          <w:p>
            <w:pPr>
              <w:spacing w:after="20"/>
            </w:pPr>
            <w:r>
              <w:rPr>
                <w:sz w:val="15"/>
              </w:rPr>
              <w:t>Use simulators and suitable partner/QCaaS resources; develop skills; map risks and standards; validate use cases and commercial paths.</w:t>
            </w:r>
          </w:p>
        </w:tc>
      </w:tr>
      <w:tr>
        <w:tc>
          <w:tcPr>
            <w:tcW w:type="dxa" w:w="3408"/>
          </w:tcPr>
          <w:p>
            <w:pPr>
              <w:spacing w:after="20"/>
            </w:pPr>
            <w:r>
              <w:rPr>
                <w:sz w:val="15"/>
              </w:rPr>
              <w:t>Data-centre and AI infrastructure expectations (Mar 2026)</w:t>
            </w:r>
          </w:p>
        </w:tc>
        <w:tc>
          <w:tcPr>
            <w:tcW w:type="dxa" w:w="3408"/>
          </w:tcPr>
          <w:p>
            <w:pPr>
              <w:spacing w:after="20"/>
            </w:pPr>
            <w:r>
              <w:rPr>
                <w:sz w:val="15"/>
              </w:rPr>
              <w:t>National interest/sovereignty; energy transition; sustainable water; Australian workforce; research, innovation and local capability. Focuses on new/expanded large facilities, not small edge/on-site enterprise facilities.</w:t>
            </w:r>
          </w:p>
        </w:tc>
        <w:tc>
          <w:tcPr>
            <w:tcW w:type="dxa" w:w="3408"/>
          </w:tcPr>
          <w:p>
            <w:pPr>
              <w:spacing w:after="20"/>
            </w:pPr>
            <w:r>
              <w:rPr>
                <w:sz w:val="15"/>
              </w:rPr>
              <w:t>Screen applicability; capture energy/water assumptions, local engagement, workforce, security/data boundaries and local benefits.</w:t>
            </w:r>
          </w:p>
        </w:tc>
      </w:tr>
      <w:tr>
        <w:tc>
          <w:tcPr>
            <w:tcW w:type="dxa" w:w="3408"/>
          </w:tcPr>
          <w:p>
            <w:pPr>
              <w:spacing w:after="20"/>
            </w:pPr>
            <w:r>
              <w:rPr>
                <w:sz w:val="15"/>
              </w:rPr>
              <w:t>AI infrastructure consultation paper (Sep 2026)</w:t>
            </w:r>
          </w:p>
        </w:tc>
        <w:tc>
          <w:tcPr>
            <w:tcW w:type="dxa" w:w="3408"/>
          </w:tcPr>
          <w:p>
            <w:pPr>
              <w:spacing w:after="20"/>
            </w:pPr>
            <w:r>
              <w:rPr>
                <w:sz w:val="15"/>
              </w:rPr>
              <w:t>Consultation on possible nationally consistent standards; proposals are not automatically enacted law.</w:t>
            </w:r>
          </w:p>
        </w:tc>
        <w:tc>
          <w:tcPr>
            <w:tcW w:type="dxa" w:w="3408"/>
          </w:tcPr>
          <w:p>
            <w:pPr>
              <w:spacing w:after="20"/>
            </w:pPr>
            <w:r>
              <w:rPr>
                <w:sz w:val="15"/>
              </w:rPr>
              <w:t>Maintain policy watch; verify final law, thresholds, commencement and jurisdictional implementation.</w:t>
            </w:r>
          </w:p>
        </w:tc>
      </w:tr>
      <w:tr>
        <w:tc>
          <w:tcPr>
            <w:tcW w:type="dxa" w:w="3408"/>
          </w:tcPr>
          <w:p>
            <w:pPr>
              <w:spacing w:after="20"/>
            </w:pPr>
            <w:r>
              <w:rPr>
                <w:sz w:val="15"/>
              </w:rPr>
              <w:t>State/territory/local requirements</w:t>
            </w:r>
          </w:p>
        </w:tc>
        <w:tc>
          <w:tcPr>
            <w:tcW w:type="dxa" w:w="3408"/>
          </w:tcPr>
          <w:p>
            <w:pPr>
              <w:spacing w:after="20"/>
            </w:pPr>
            <w:r>
              <w:rPr>
                <w:sz w:val="15"/>
              </w:rPr>
              <w:t>Planning, environment, energy, water, building/fire, privacy, cyber, critical infrastructure and procurement vary by project and location.</w:t>
            </w:r>
          </w:p>
        </w:tc>
        <w:tc>
          <w:tcPr>
            <w:tcW w:type="dxa" w:w="3408"/>
          </w:tcPr>
          <w:p>
            <w:pPr>
              <w:spacing w:after="20"/>
            </w:pPr>
            <w:r>
              <w:rPr>
                <w:sz w:val="15"/>
              </w:rPr>
              <w:t>Site/customer-specific applicability assessment; qualified legal, engineering and assurance advice.</w:t>
            </w:r>
          </w:p>
        </w:tc>
      </w:tr>
      <w:tr>
        <w:tc>
          <w:tcPr>
            <w:tcW w:type="dxa" w:w="3408"/>
          </w:tcPr>
          <w:p>
            <w:pPr>
              <w:spacing w:after="20"/>
            </w:pPr>
            <w:r>
              <w:rPr>
                <w:sz w:val="15"/>
              </w:rPr>
              <w:t>Standards and assurance schemes</w:t>
            </w:r>
          </w:p>
        </w:tc>
        <w:tc>
          <w:tcPr>
            <w:tcW w:type="dxa" w:w="3408"/>
          </w:tcPr>
          <w:p>
            <w:pPr>
              <w:spacing w:after="20"/>
            </w:pPr>
            <w:r>
              <w:rPr>
                <w:sz w:val="15"/>
              </w:rPr>
              <w:t>May guide facilities, security, continuity, service management and KPIs; scopes/certification routes differ.</w:t>
            </w:r>
          </w:p>
        </w:tc>
        <w:tc>
          <w:tcPr>
            <w:tcW w:type="dxa" w:w="3408"/>
          </w:tcPr>
          <w:p>
            <w:pPr>
              <w:spacing w:after="20"/>
            </w:pPr>
            <w:r>
              <w:rPr>
                <w:sz w:val="15"/>
              </w:rPr>
              <w:t>Separate design alignment, controls, audit evidence and independent certification.</w:t>
            </w:r>
          </w:p>
        </w:tc>
      </w:tr>
    </w:tbl>
    <w:p/>
    <w:p>
      <w:pPr>
        <w:pStyle w:val="Heading2"/>
      </w:pPr>
      <w:r>
        <w:t>2.1 National Quantum Strategy: five themes translated into work</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Theme</w:t>
            </w:r>
          </w:p>
        </w:tc>
        <w:tc>
          <w:tcPr>
            <w:tcW w:type="dxa" w:w="3408"/>
            <w:shd w:fill="17365D"/>
          </w:tcPr>
          <w:p>
            <w:r>
              <w:rPr>
                <w:b/>
                <w:color w:val="FFFFFF"/>
                <w:sz w:val="16"/>
              </w:rPr>
              <w:t>Practical action</w:t>
            </w:r>
          </w:p>
        </w:tc>
        <w:tc>
          <w:tcPr>
            <w:tcW w:type="dxa" w:w="3408"/>
            <w:shd w:fill="17365D"/>
          </w:tcPr>
          <w:p>
            <w:r>
              <w:rPr>
                <w:b/>
                <w:color w:val="FFFFFF"/>
                <w:sz w:val="16"/>
              </w:rPr>
              <w:t>Evidence examples</w:t>
            </w:r>
          </w:p>
        </w:tc>
      </w:tr>
      <w:tr>
        <w:tc>
          <w:tcPr>
            <w:tcW w:type="dxa" w:w="3408"/>
          </w:tcPr>
          <w:p>
            <w:pPr>
              <w:spacing w:after="20"/>
            </w:pPr>
            <w:r>
              <w:rPr>
                <w:sz w:val="15"/>
              </w:rPr>
              <w:t>1. R&amp;D, investment and use</w:t>
            </w:r>
          </w:p>
        </w:tc>
        <w:tc>
          <w:tcPr>
            <w:tcW w:type="dxa" w:w="3408"/>
          </w:tcPr>
          <w:p>
            <w:pPr>
              <w:spacing w:after="20"/>
            </w:pPr>
            <w:r>
              <w:rPr>
                <w:sz w:val="15"/>
              </w:rPr>
              <w:t>Use-case funnel, bounded experiments, research/industry links, commercialization plans.</w:t>
            </w:r>
          </w:p>
        </w:tc>
        <w:tc>
          <w:tcPr>
            <w:tcW w:type="dxa" w:w="3408"/>
          </w:tcPr>
          <w:p>
            <w:pPr>
              <w:spacing w:after="20"/>
            </w:pPr>
            <w:r>
              <w:rPr>
                <w:sz w:val="15"/>
              </w:rPr>
              <w:t>Use-case brief, experiment plan, baseline, result report, partner map, investment case.</w:t>
            </w:r>
          </w:p>
        </w:tc>
      </w:tr>
      <w:tr>
        <w:tc>
          <w:tcPr>
            <w:tcW w:type="dxa" w:w="3408"/>
          </w:tcPr>
          <w:p>
            <w:pPr>
              <w:spacing w:after="20"/>
            </w:pPr>
            <w:r>
              <w:rPr>
                <w:sz w:val="15"/>
              </w:rPr>
              <w:t>2. Quantum infrastructure/materials</w:t>
            </w:r>
          </w:p>
        </w:tc>
        <w:tc>
          <w:tcPr>
            <w:tcW w:type="dxa" w:w="3408"/>
          </w:tcPr>
          <w:p>
            <w:pPr>
              <w:spacing w:after="20"/>
            </w:pPr>
            <w:r>
              <w:rPr>
                <w:sz w:val="15"/>
              </w:rPr>
              <w:t>Simulator-first development; record provider, modality, location, access, terms, latency/queue, cost and fallback.</w:t>
            </w:r>
          </w:p>
        </w:tc>
        <w:tc>
          <w:tcPr>
            <w:tcW w:type="dxa" w:w="3408"/>
          </w:tcPr>
          <w:p>
            <w:pPr>
              <w:spacing w:after="20"/>
            </w:pPr>
            <w:r>
              <w:rPr>
                <w:sz w:val="15"/>
              </w:rPr>
              <w:t>Backend matrix, compatibility tests, cost/latency log, access terms.</w:t>
            </w:r>
          </w:p>
        </w:tc>
      </w:tr>
      <w:tr>
        <w:tc>
          <w:tcPr>
            <w:tcW w:type="dxa" w:w="3408"/>
          </w:tcPr>
          <w:p>
            <w:pPr>
              <w:spacing w:after="20"/>
            </w:pPr>
            <w:r>
              <w:rPr>
                <w:sz w:val="15"/>
              </w:rPr>
              <w:t>3. Workforce</w:t>
            </w:r>
          </w:p>
        </w:tc>
        <w:tc>
          <w:tcPr>
            <w:tcW w:type="dxa" w:w="3408"/>
          </w:tcPr>
          <w:p>
            <w:pPr>
              <w:spacing w:after="20"/>
            </w:pPr>
            <w:r>
              <w:rPr>
                <w:sz w:val="15"/>
              </w:rPr>
              <w:t>Role-based training for developers, operators, domain users and decision-makers.</w:t>
            </w:r>
          </w:p>
        </w:tc>
        <w:tc>
          <w:tcPr>
            <w:tcW w:type="dxa" w:w="3408"/>
          </w:tcPr>
          <w:p>
            <w:pPr>
              <w:spacing w:after="20"/>
            </w:pPr>
            <w:r>
              <w:rPr>
                <w:sz w:val="15"/>
              </w:rPr>
              <w:t>Learning path, competency rubric, labs, completion record.</w:t>
            </w:r>
          </w:p>
        </w:tc>
      </w:tr>
      <w:tr>
        <w:tc>
          <w:tcPr>
            <w:tcW w:type="dxa" w:w="3408"/>
          </w:tcPr>
          <w:p>
            <w:pPr>
              <w:spacing w:after="20"/>
            </w:pPr>
            <w:r>
              <w:rPr>
                <w:sz w:val="15"/>
              </w:rPr>
              <w:t>4. Standards/frameworks</w:t>
            </w:r>
          </w:p>
        </w:tc>
        <w:tc>
          <w:tcPr>
            <w:tcW w:type="dxa" w:w="3408"/>
          </w:tcPr>
          <w:p>
            <w:pPr>
              <w:spacing w:after="20"/>
            </w:pPr>
            <w:r>
              <w:rPr>
                <w:sz w:val="15"/>
              </w:rPr>
              <w:t>Trace applicable requirement to control, test and evidence.</w:t>
            </w:r>
          </w:p>
        </w:tc>
        <w:tc>
          <w:tcPr>
            <w:tcW w:type="dxa" w:w="3408"/>
          </w:tcPr>
          <w:p>
            <w:pPr>
              <w:spacing w:after="20"/>
            </w:pPr>
            <w:r>
              <w:rPr>
                <w:sz w:val="15"/>
              </w:rPr>
              <w:t>Applicability decision, control map, test result, exception/remediation log.</w:t>
            </w:r>
          </w:p>
        </w:tc>
      </w:tr>
      <w:tr>
        <w:tc>
          <w:tcPr>
            <w:tcW w:type="dxa" w:w="3408"/>
          </w:tcPr>
          <w:p>
            <w:pPr>
              <w:spacing w:after="20"/>
            </w:pPr>
            <w:r>
              <w:rPr>
                <w:sz w:val="15"/>
              </w:rPr>
              <w:t>5. Trusted/ethical/inclusive ecosystem</w:t>
            </w:r>
          </w:p>
        </w:tc>
        <w:tc>
          <w:tcPr>
            <w:tcW w:type="dxa" w:w="3408"/>
          </w:tcPr>
          <w:p>
            <w:pPr>
              <w:spacing w:after="20"/>
            </w:pPr>
            <w:r>
              <w:rPr>
                <w:sz w:val="15"/>
              </w:rPr>
              <w:t>Risk assessment, transparent claims, secure data, IP clarity, human oversight.</w:t>
            </w:r>
          </w:p>
        </w:tc>
        <w:tc>
          <w:tcPr>
            <w:tcW w:type="dxa" w:w="3408"/>
          </w:tcPr>
          <w:p>
            <w:pPr>
              <w:spacing w:after="20"/>
            </w:pPr>
            <w:r>
              <w:rPr>
                <w:sz w:val="15"/>
              </w:rPr>
              <w:t>Risk assessment, data/IP terms, approval record, substantiated claims.</w:t>
            </w:r>
          </w:p>
        </w:tc>
      </w:tr>
    </w:tbl>
    <w:p/>
    <w:p>
      <w:pPr>
        <w:pStyle w:val="Heading1"/>
      </w:pPr>
      <w:r>
        <w:t>3. Target operating model</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Layer</w:t>
            </w:r>
          </w:p>
        </w:tc>
        <w:tc>
          <w:tcPr>
            <w:tcW w:type="dxa" w:w="3408"/>
            <w:shd w:fill="17365D"/>
          </w:tcPr>
          <w:p>
            <w:r>
              <w:rPr>
                <w:b/>
                <w:color w:val="FFFFFF"/>
                <w:sz w:val="16"/>
              </w:rPr>
              <w:t>Question</w:t>
            </w:r>
          </w:p>
        </w:tc>
        <w:tc>
          <w:tcPr>
            <w:tcW w:type="dxa" w:w="3408"/>
            <w:shd w:fill="17365D"/>
          </w:tcPr>
          <w:p>
            <w:r>
              <w:rPr>
                <w:b/>
                <w:color w:val="FFFFFF"/>
                <w:sz w:val="16"/>
              </w:rPr>
              <w:t>Outputs</w:t>
            </w:r>
          </w:p>
        </w:tc>
      </w:tr>
      <w:tr>
        <w:tc>
          <w:tcPr>
            <w:tcW w:type="dxa" w:w="3408"/>
          </w:tcPr>
          <w:p>
            <w:pPr>
              <w:spacing w:after="20"/>
            </w:pPr>
            <w:r>
              <w:rPr>
                <w:sz w:val="15"/>
              </w:rPr>
              <w:t>National/jurisdiction policy</w:t>
            </w:r>
          </w:p>
        </w:tc>
        <w:tc>
          <w:tcPr>
            <w:tcW w:type="dxa" w:w="3408"/>
          </w:tcPr>
          <w:p>
            <w:pPr>
              <w:spacing w:after="20"/>
            </w:pPr>
            <w:r>
              <w:rPr>
                <w:sz w:val="15"/>
              </w:rPr>
              <w:t>What priorities and obligations may apply?</w:t>
            </w:r>
          </w:p>
        </w:tc>
        <w:tc>
          <w:tcPr>
            <w:tcW w:type="dxa" w:w="3408"/>
          </w:tcPr>
          <w:p>
            <w:pPr>
              <w:spacing w:after="20"/>
            </w:pPr>
            <w:r>
              <w:rPr>
                <w:sz w:val="15"/>
              </w:rPr>
              <w:t>Policy register, source/date/status, applicability and owner.</w:t>
            </w:r>
          </w:p>
        </w:tc>
      </w:tr>
      <w:tr>
        <w:tc>
          <w:tcPr>
            <w:tcW w:type="dxa" w:w="3408"/>
          </w:tcPr>
          <w:p>
            <w:pPr>
              <w:spacing w:after="20"/>
            </w:pPr>
            <w:r>
              <w:rPr>
                <w:sz w:val="15"/>
              </w:rPr>
              <w:t>HoldCo Board/portfolio</w:t>
            </w:r>
          </w:p>
        </w:tc>
        <w:tc>
          <w:tcPr>
            <w:tcW w:type="dxa" w:w="3408"/>
          </w:tcPr>
          <w:p>
            <w:pPr>
              <w:spacing w:after="20"/>
            </w:pPr>
            <w:r>
              <w:rPr>
                <w:sz w:val="15"/>
              </w:rPr>
              <w:t>Why this opportunity, for whom, why now?</w:t>
            </w:r>
          </w:p>
        </w:tc>
        <w:tc>
          <w:tcPr>
            <w:tcW w:type="dxa" w:w="3408"/>
          </w:tcPr>
          <w:p>
            <w:pPr>
              <w:spacing w:after="20"/>
            </w:pPr>
            <w:r>
              <w:rPr>
                <w:sz w:val="15"/>
              </w:rPr>
              <w:t>Strategic fit, priority, investment envelope, risk appetite, go/hold/stop.</w:t>
            </w:r>
          </w:p>
        </w:tc>
      </w:tr>
      <w:tr>
        <w:tc>
          <w:tcPr>
            <w:tcW w:type="dxa" w:w="3408"/>
          </w:tcPr>
          <w:p>
            <w:pPr>
              <w:spacing w:after="20"/>
            </w:pPr>
            <w:r>
              <w:rPr>
                <w:sz w:val="15"/>
              </w:rPr>
              <w:t>Client/domain</w:t>
            </w:r>
          </w:p>
        </w:tc>
        <w:tc>
          <w:tcPr>
            <w:tcW w:type="dxa" w:w="3408"/>
          </w:tcPr>
          <w:p>
            <w:pPr>
              <w:spacing w:after="20"/>
            </w:pPr>
            <w:r>
              <w:rPr>
                <w:sz w:val="15"/>
              </w:rPr>
              <w:t>What problem and measurable outcome?</w:t>
            </w:r>
          </w:p>
        </w:tc>
        <w:tc>
          <w:tcPr>
            <w:tcW w:type="dxa" w:w="3408"/>
          </w:tcPr>
          <w:p>
            <w:pPr>
              <w:spacing w:after="20"/>
            </w:pPr>
            <w:r>
              <w:rPr>
                <w:sz w:val="15"/>
              </w:rPr>
              <w:t>Problem, baseline, users, constraints, data and acceptance criteria.</w:t>
            </w:r>
          </w:p>
        </w:tc>
      </w:tr>
      <w:tr>
        <w:tc>
          <w:tcPr>
            <w:tcW w:type="dxa" w:w="3408"/>
          </w:tcPr>
          <w:p>
            <w:pPr>
              <w:spacing w:after="20"/>
            </w:pPr>
            <w:r>
              <w:rPr>
                <w:sz w:val="15"/>
              </w:rPr>
              <w:t>Programme/project delivery</w:t>
            </w:r>
          </w:p>
        </w:tc>
        <w:tc>
          <w:tcPr>
            <w:tcW w:type="dxa" w:w="3408"/>
          </w:tcPr>
          <w:p>
            <w:pPr>
              <w:spacing w:after="20"/>
            </w:pPr>
            <w:r>
              <w:rPr>
                <w:sz w:val="15"/>
              </w:rPr>
              <w:t>How is work governed?</w:t>
            </w:r>
          </w:p>
        </w:tc>
        <w:tc>
          <w:tcPr>
            <w:tcW w:type="dxa" w:w="3408"/>
          </w:tcPr>
          <w:p>
            <w:pPr>
              <w:spacing w:after="20"/>
            </w:pPr>
            <w:r>
              <w:rPr>
                <w:sz w:val="15"/>
              </w:rPr>
              <w:t>Benefits map, plan, work packages, schedule, risks/issues/changes, gate evidence.</w:t>
            </w:r>
          </w:p>
        </w:tc>
      </w:tr>
      <w:tr>
        <w:tc>
          <w:tcPr>
            <w:tcW w:type="dxa" w:w="3408"/>
          </w:tcPr>
          <w:p>
            <w:pPr>
              <w:spacing w:after="20"/>
            </w:pPr>
            <w:r>
              <w:rPr>
                <w:sz w:val="15"/>
              </w:rPr>
              <w:t>Logical QAI platform</w:t>
            </w:r>
          </w:p>
        </w:tc>
        <w:tc>
          <w:tcPr>
            <w:tcW w:type="dxa" w:w="3408"/>
          </w:tcPr>
          <w:p>
            <w:pPr>
              <w:spacing w:after="20"/>
            </w:pPr>
            <w:r>
              <w:rPr>
                <w:sz w:val="15"/>
              </w:rPr>
              <w:t>What capabilities/workflows are needed?</w:t>
            </w:r>
          </w:p>
        </w:tc>
        <w:tc>
          <w:tcPr>
            <w:tcW w:type="dxa" w:w="3408"/>
          </w:tcPr>
          <w:p>
            <w:pPr>
              <w:spacing w:after="20"/>
            </w:pPr>
            <w:r>
              <w:rPr>
                <w:sz w:val="15"/>
              </w:rPr>
              <w:t>Identity, orchestration, workflow, data/evidence, policy, monitoring, integration, fallback.</w:t>
            </w:r>
          </w:p>
        </w:tc>
      </w:tr>
      <w:tr>
        <w:tc>
          <w:tcPr>
            <w:tcW w:type="dxa" w:w="3408"/>
          </w:tcPr>
          <w:p>
            <w:pPr>
              <w:spacing w:after="20"/>
            </w:pPr>
            <w:r>
              <w:rPr>
                <w:sz w:val="15"/>
              </w:rPr>
              <w:t>Physical resources</w:t>
            </w:r>
          </w:p>
        </w:tc>
        <w:tc>
          <w:tcPr>
            <w:tcW w:type="dxa" w:w="3408"/>
          </w:tcPr>
          <w:p>
            <w:pPr>
              <w:spacing w:after="20"/>
            </w:pPr>
            <w:r>
              <w:rPr>
                <w:sz w:val="15"/>
              </w:rPr>
              <w:t>Which resources can execute it?</w:t>
            </w:r>
          </w:p>
        </w:tc>
        <w:tc>
          <w:tcPr>
            <w:tcW w:type="dxa" w:w="3408"/>
          </w:tcPr>
          <w:p>
            <w:pPr>
              <w:spacing w:after="20"/>
            </w:pPr>
            <w:r>
              <w:rPr>
                <w:sz w:val="15"/>
              </w:rPr>
              <w:t>CPU/GPU/FPGA/storage/network/sensors/QPU/QCaaS, location, capacity, power/cooling, security and terms.</w:t>
            </w:r>
          </w:p>
        </w:tc>
      </w:tr>
      <w:tr>
        <w:tc>
          <w:tcPr>
            <w:tcW w:type="dxa" w:w="3408"/>
          </w:tcPr>
          <w:p>
            <w:pPr>
              <w:spacing w:after="20"/>
            </w:pPr>
            <w:r>
              <w:rPr>
                <w:sz w:val="15"/>
              </w:rPr>
              <w:t>Experiment/assurance</w:t>
            </w:r>
          </w:p>
        </w:tc>
        <w:tc>
          <w:tcPr>
            <w:tcW w:type="dxa" w:w="3408"/>
          </w:tcPr>
          <w:p>
            <w:pPr>
              <w:spacing w:after="20"/>
            </w:pPr>
            <w:r>
              <w:rPr>
                <w:sz w:val="15"/>
              </w:rPr>
              <w:t>What was tested and learned?</w:t>
            </w:r>
          </w:p>
        </w:tc>
        <w:tc>
          <w:tcPr>
            <w:tcW w:type="dxa" w:w="3408"/>
          </w:tcPr>
          <w:p>
            <w:pPr>
              <w:spacing w:after="20"/>
            </w:pPr>
            <w:r>
              <w:rPr>
                <w:sz w:val="15"/>
              </w:rPr>
              <w:t>Reproducible experiment, classical baseline, comparison, validation, exceptions.</w:t>
            </w:r>
          </w:p>
        </w:tc>
      </w:tr>
      <w:tr>
        <w:tc>
          <w:tcPr>
            <w:tcW w:type="dxa" w:w="3408"/>
          </w:tcPr>
          <w:p>
            <w:pPr>
              <w:spacing w:after="20"/>
            </w:pPr>
            <w:r>
              <w:rPr>
                <w:sz w:val="15"/>
              </w:rPr>
              <w:t>Service/commercial outcome</w:t>
            </w:r>
          </w:p>
        </w:tc>
        <w:tc>
          <w:tcPr>
            <w:tcW w:type="dxa" w:w="3408"/>
          </w:tcPr>
          <w:p>
            <w:pPr>
              <w:spacing w:after="20"/>
            </w:pPr>
            <w:r>
              <w:rPr>
                <w:sz w:val="15"/>
              </w:rPr>
              <w:t>Was value achieved sustainably?</w:t>
            </w:r>
          </w:p>
        </w:tc>
        <w:tc>
          <w:tcPr>
            <w:tcW w:type="dxa" w:w="3408"/>
          </w:tcPr>
          <w:p>
            <w:pPr>
              <w:spacing w:after="20"/>
            </w:pPr>
            <w:r>
              <w:rPr>
                <w:sz w:val="15"/>
              </w:rPr>
              <w:t>Service metrics, TCO, usage, measurable energy/water data, benefits review.</w:t>
            </w:r>
          </w:p>
        </w:tc>
      </w:tr>
    </w:tbl>
    <w:p/>
    <w:p>
      <w:r>
        <w:t>Canonical traceability: National/client need → requirement → domain → workflow/CPS model → logical capability → physical resource → work package → experiment/test → result/evidence → approval → service metric → economic/client outcome.</w:t>
      </w:r>
    </w:p>
    <w:p>
      <w:r>
        <w:rPr>
          <w:b/>
          <w:color w:val="0070C0"/>
        </w:rPr>
        <w:t xml:space="preserve">Architecture rule: </w:t>
      </w:r>
      <w:r>
        <w:t>Economic, Domain, Logical and Physical are four peer architectural planes. Policy/frameworks map onto them; they do not replace them. N:N mappings are valid only when alternatives are independently viable, validated, monitored and governed.</w:t>
      </w:r>
    </w:p>
    <w:p>
      <w:pPr>
        <w:pStyle w:val="Heading1"/>
      </w:pPr>
      <w:r>
        <w:t>4. Practical focus areas and minimum artefacts</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Focus</w:t>
            </w:r>
          </w:p>
        </w:tc>
        <w:tc>
          <w:tcPr>
            <w:tcW w:type="dxa" w:w="3408"/>
            <w:shd w:fill="17365D"/>
          </w:tcPr>
          <w:p>
            <w:r>
              <w:rPr>
                <w:b/>
                <w:color w:val="FFFFFF"/>
                <w:sz w:val="16"/>
              </w:rPr>
              <w:t>Questions</w:t>
            </w:r>
          </w:p>
        </w:tc>
        <w:tc>
          <w:tcPr>
            <w:tcW w:type="dxa" w:w="3408"/>
            <w:shd w:fill="17365D"/>
          </w:tcPr>
          <w:p>
            <w:r>
              <w:rPr>
                <w:b/>
                <w:color w:val="FFFFFF"/>
                <w:sz w:val="16"/>
              </w:rPr>
              <w:t>Artefacts/evidence</w:t>
            </w:r>
          </w:p>
        </w:tc>
      </w:tr>
      <w:tr>
        <w:tc>
          <w:tcPr>
            <w:tcW w:type="dxa" w:w="3408"/>
          </w:tcPr>
          <w:p>
            <w:pPr>
              <w:spacing w:after="20"/>
            </w:pPr>
            <w:r>
              <w:rPr>
                <w:sz w:val="15"/>
              </w:rPr>
              <w:t>AI and safety</w:t>
            </w:r>
          </w:p>
        </w:tc>
        <w:tc>
          <w:tcPr>
            <w:tcW w:type="dxa" w:w="3408"/>
          </w:tcPr>
          <w:p>
            <w:pPr>
              <w:spacing w:after="20"/>
            </w:pPr>
            <w:r>
              <w:rPr>
                <w:sz w:val="15"/>
              </w:rPr>
              <w:t>Task, data, model evaluation, human oversight and harm controls?</w:t>
            </w:r>
          </w:p>
        </w:tc>
        <w:tc>
          <w:tcPr>
            <w:tcW w:type="dxa" w:w="3408"/>
          </w:tcPr>
          <w:p>
            <w:pPr>
              <w:spacing w:after="20"/>
            </w:pPr>
            <w:r>
              <w:rPr>
                <w:sz w:val="15"/>
              </w:rPr>
              <w:t>Use-case brief; system/model inventory; evaluation plan; risk register; oversight/incident procedures.</w:t>
            </w:r>
          </w:p>
        </w:tc>
      </w:tr>
      <w:tr>
        <w:tc>
          <w:tcPr>
            <w:tcW w:type="dxa" w:w="3408"/>
          </w:tcPr>
          <w:p>
            <w:pPr>
              <w:spacing w:after="20"/>
            </w:pPr>
            <w:r>
              <w:rPr>
                <w:sz w:val="15"/>
              </w:rPr>
              <w:t>Quantum/hybrid compute</w:t>
            </w:r>
          </w:p>
        </w:tc>
        <w:tc>
          <w:tcPr>
            <w:tcW w:type="dxa" w:w="3408"/>
          </w:tcPr>
          <w:p>
            <w:pPr>
              <w:spacing w:after="20"/>
            </w:pPr>
            <w:r>
              <w:rPr>
                <w:sz w:val="15"/>
              </w:rPr>
              <w:t>Why quantum; classical baseline; available provider/modality; fallback?</w:t>
            </w:r>
          </w:p>
        </w:tc>
        <w:tc>
          <w:tcPr>
            <w:tcW w:type="dxa" w:w="3408"/>
          </w:tcPr>
          <w:p>
            <w:pPr>
              <w:spacing w:after="20"/>
            </w:pPr>
            <w:r>
              <w:rPr>
                <w:sz w:val="15"/>
              </w:rPr>
              <w:t>Use-case assessment; adapter contract; baseline; experiment record; cost/performance comparison; claim review.</w:t>
            </w:r>
          </w:p>
        </w:tc>
      </w:tr>
      <w:tr>
        <w:tc>
          <w:tcPr>
            <w:tcW w:type="dxa" w:w="3408"/>
          </w:tcPr>
          <w:p>
            <w:pPr>
              <w:spacing w:after="20"/>
            </w:pPr>
            <w:r>
              <w:rPr>
                <w:sz w:val="15"/>
              </w:rPr>
              <w:t>Infrastructure</w:t>
            </w:r>
          </w:p>
        </w:tc>
        <w:tc>
          <w:tcPr>
            <w:tcW w:type="dxa" w:w="3408"/>
          </w:tcPr>
          <w:p>
            <w:pPr>
              <w:spacing w:after="20"/>
            </w:pPr>
            <w:r>
              <w:rPr>
                <w:sz w:val="15"/>
              </w:rPr>
              <w:t>Virtual, edge, enterprise, colocation or large-scale? Capacity, redundancy, site, security, connectivity?</w:t>
            </w:r>
          </w:p>
        </w:tc>
        <w:tc>
          <w:tcPr>
            <w:tcW w:type="dxa" w:w="3408"/>
          </w:tcPr>
          <w:p>
            <w:pPr>
              <w:spacing w:after="20"/>
            </w:pPr>
            <w:r>
              <w:rPr>
                <w:sz w:val="15"/>
              </w:rPr>
              <w:t>Infrastructure profile; topology; inventory; capacity/dependency model; site assumptions; deployment plan.</w:t>
            </w:r>
          </w:p>
        </w:tc>
      </w:tr>
      <w:tr>
        <w:tc>
          <w:tcPr>
            <w:tcW w:type="dxa" w:w="3408"/>
          </w:tcPr>
          <w:p>
            <w:pPr>
              <w:spacing w:after="20"/>
            </w:pPr>
            <w:r>
              <w:rPr>
                <w:sz w:val="15"/>
              </w:rPr>
              <w:t>Energy/grid</w:t>
            </w:r>
          </w:p>
        </w:tc>
        <w:tc>
          <w:tcPr>
            <w:tcW w:type="dxa" w:w="3408"/>
          </w:tcPr>
          <w:p>
            <w:pPr>
              <w:spacing w:after="20"/>
            </w:pPr>
            <w:r>
              <w:rPr>
                <w:sz w:val="15"/>
              </w:rPr>
              <w:t>Energy assumptions, peak demand, supply/firming, flexibility and cost?</w:t>
            </w:r>
          </w:p>
        </w:tc>
        <w:tc>
          <w:tcPr>
            <w:tcW w:type="dxa" w:w="3408"/>
          </w:tcPr>
          <w:p>
            <w:pPr>
              <w:spacing w:after="20"/>
            </w:pPr>
            <w:r>
              <w:rPr>
                <w:sz w:val="15"/>
              </w:rPr>
              <w:t>Measurement plan; demand profile; PUE definition if applicable; flexibility options; utility dependencies.</w:t>
            </w:r>
          </w:p>
        </w:tc>
      </w:tr>
      <w:tr>
        <w:tc>
          <w:tcPr>
            <w:tcW w:type="dxa" w:w="3408"/>
          </w:tcPr>
          <w:p>
            <w:pPr>
              <w:spacing w:after="20"/>
            </w:pPr>
            <w:r>
              <w:rPr>
                <w:sz w:val="15"/>
              </w:rPr>
              <w:t>Water/cooling</w:t>
            </w:r>
          </w:p>
        </w:tc>
        <w:tc>
          <w:tcPr>
            <w:tcW w:type="dxa" w:w="3408"/>
          </w:tcPr>
          <w:p>
            <w:pPr>
              <w:spacing w:after="20"/>
            </w:pPr>
            <w:r>
              <w:rPr>
                <w:sz w:val="15"/>
              </w:rPr>
              <w:t>Source, quantity, cooling, climate/drought exposure and reporting?</w:t>
            </w:r>
          </w:p>
        </w:tc>
        <w:tc>
          <w:tcPr>
            <w:tcW w:type="dxa" w:w="3408"/>
          </w:tcPr>
          <w:p>
            <w:pPr>
              <w:spacing w:after="20"/>
            </w:pPr>
            <w:r>
              <w:rPr>
                <w:sz w:val="15"/>
              </w:rPr>
              <w:t>Water assumptions; WUE where measurable; cooling/resilience assessment; reuse feasibility; reporting owner.</w:t>
            </w:r>
          </w:p>
        </w:tc>
      </w:tr>
      <w:tr>
        <w:tc>
          <w:tcPr>
            <w:tcW w:type="dxa" w:w="3408"/>
          </w:tcPr>
          <w:p>
            <w:pPr>
              <w:spacing w:after="20"/>
            </w:pPr>
            <w:r>
              <w:rPr>
                <w:sz w:val="15"/>
              </w:rPr>
              <w:t>Client purpose</w:t>
            </w:r>
          </w:p>
        </w:tc>
        <w:tc>
          <w:tcPr>
            <w:tcW w:type="dxa" w:w="3408"/>
          </w:tcPr>
          <w:p>
            <w:pPr>
              <w:spacing w:after="20"/>
            </w:pPr>
            <w:r>
              <w:rPr>
                <w:sz w:val="15"/>
              </w:rPr>
              <w:t>Who benefits, baseline, constraints, authorisation and acceptance?</w:t>
            </w:r>
          </w:p>
        </w:tc>
        <w:tc>
          <w:tcPr>
            <w:tcW w:type="dxa" w:w="3408"/>
          </w:tcPr>
          <w:p>
            <w:pPr>
              <w:spacing w:after="20"/>
            </w:pPr>
            <w:r>
              <w:rPr>
                <w:sz w:val="15"/>
              </w:rPr>
              <w:t>Discovery brief; stakeholder map; requirements; acceptance; data/IP permissions; value hypothesis.</w:t>
            </w:r>
          </w:p>
        </w:tc>
      </w:tr>
      <w:tr>
        <w:tc>
          <w:tcPr>
            <w:tcW w:type="dxa" w:w="3408"/>
          </w:tcPr>
          <w:p>
            <w:pPr>
              <w:spacing w:after="20"/>
            </w:pPr>
            <w:r>
              <w:rPr>
                <w:sz w:val="15"/>
              </w:rPr>
              <w:t>Domains</w:t>
            </w:r>
          </w:p>
        </w:tc>
        <w:tc>
          <w:tcPr>
            <w:tcW w:type="dxa" w:w="3408"/>
          </w:tcPr>
          <w:p>
            <w:pPr>
              <w:spacing w:after="20"/>
            </w:pPr>
            <w:r>
              <w:rPr>
                <w:sz w:val="15"/>
              </w:rPr>
              <w:t>What differs across agriculture, energy, manufacturing, logistics, public services and research?</w:t>
            </w:r>
          </w:p>
        </w:tc>
        <w:tc>
          <w:tcPr>
            <w:tcW w:type="dxa" w:w="3408"/>
          </w:tcPr>
          <w:p>
            <w:pPr>
              <w:spacing w:after="20"/>
            </w:pPr>
            <w:r>
              <w:rPr>
                <w:sz w:val="15"/>
              </w:rPr>
              <w:t>Domain pack; data dictionary; workflow; sector obligations; metrics and test scenarios.</w:t>
            </w:r>
          </w:p>
        </w:tc>
      </w:tr>
      <w:tr>
        <w:tc>
          <w:tcPr>
            <w:tcW w:type="dxa" w:w="3408"/>
          </w:tcPr>
          <w:p>
            <w:pPr>
              <w:spacing w:after="20"/>
            </w:pPr>
            <w:r>
              <w:rPr>
                <w:sz w:val="15"/>
              </w:rPr>
              <w:t>Security/sovereignty/privacy</w:t>
            </w:r>
          </w:p>
        </w:tc>
        <w:tc>
          <w:tcPr>
            <w:tcW w:type="dxa" w:w="3408"/>
          </w:tcPr>
          <w:p>
            <w:pPr>
              <w:spacing w:after="20"/>
            </w:pPr>
            <w:r>
              <w:rPr>
                <w:sz w:val="15"/>
              </w:rPr>
              <w:t>Data location/flow, access, retention, cross-border and supplier dependencies?</w:t>
            </w:r>
          </w:p>
        </w:tc>
        <w:tc>
          <w:tcPr>
            <w:tcW w:type="dxa" w:w="3408"/>
          </w:tcPr>
          <w:p>
            <w:pPr>
              <w:spacing w:after="20"/>
            </w:pPr>
            <w:r>
              <w:rPr>
                <w:sz w:val="15"/>
              </w:rPr>
              <w:t>Data flow/classification; access model; threat/risk assessment; retention/deletion; recovery plan.</w:t>
            </w:r>
          </w:p>
        </w:tc>
      </w:tr>
      <w:tr>
        <w:tc>
          <w:tcPr>
            <w:tcW w:type="dxa" w:w="3408"/>
          </w:tcPr>
          <w:p>
            <w:pPr>
              <w:spacing w:after="20"/>
            </w:pPr>
            <w:r>
              <w:rPr>
                <w:sz w:val="15"/>
              </w:rPr>
              <w:t>Workforce/local capability</w:t>
            </w:r>
          </w:p>
        </w:tc>
        <w:tc>
          <w:tcPr>
            <w:tcW w:type="dxa" w:w="3408"/>
          </w:tcPr>
          <w:p>
            <w:pPr>
              <w:spacing w:after="20"/>
            </w:pPr>
            <w:r>
              <w:rPr>
                <w:sz w:val="15"/>
              </w:rPr>
              <w:t>Roles, skills, training and knowledge transfer?</w:t>
            </w:r>
          </w:p>
        </w:tc>
        <w:tc>
          <w:tcPr>
            <w:tcW w:type="dxa" w:w="3408"/>
          </w:tcPr>
          <w:p>
            <w:pPr>
              <w:spacing w:after="20"/>
            </w:pPr>
            <w:r>
              <w:rPr>
                <w:sz w:val="15"/>
              </w:rPr>
              <w:t>Skills plan; role matrix; training package; local capability plan; competency evidence.</w:t>
            </w:r>
          </w:p>
        </w:tc>
      </w:tr>
      <w:tr>
        <w:tc>
          <w:tcPr>
            <w:tcW w:type="dxa" w:w="3408"/>
          </w:tcPr>
          <w:p>
            <w:pPr>
              <w:spacing w:after="20"/>
            </w:pPr>
            <w:r>
              <w:rPr>
                <w:sz w:val="15"/>
              </w:rPr>
              <w:t>Community/environment</w:t>
            </w:r>
          </w:p>
        </w:tc>
        <w:tc>
          <w:tcPr>
            <w:tcW w:type="dxa" w:w="3408"/>
          </w:tcPr>
          <w:p>
            <w:pPr>
              <w:spacing w:after="20"/>
            </w:pPr>
            <w:r>
              <w:rPr>
                <w:sz w:val="15"/>
              </w:rPr>
              <w:t>Could resources/site affect communities, First Nations peoples, land, water or grid?</w:t>
            </w:r>
          </w:p>
        </w:tc>
        <w:tc>
          <w:tcPr>
            <w:tcW w:type="dxa" w:w="3408"/>
          </w:tcPr>
          <w:p>
            <w:pPr>
              <w:spacing w:after="20"/>
            </w:pPr>
            <w:r>
              <w:rPr>
                <w:sz w:val="15"/>
              </w:rPr>
              <w:t>Consultation/impact plan where applicable; response log; mitigation owner; benefits/reporting.</w:t>
            </w:r>
          </w:p>
        </w:tc>
      </w:tr>
      <w:tr>
        <w:tc>
          <w:tcPr>
            <w:tcW w:type="dxa" w:w="3408"/>
          </w:tcPr>
          <w:p>
            <w:pPr>
              <w:spacing w:after="20"/>
            </w:pPr>
            <w:r>
              <w:rPr>
                <w:sz w:val="15"/>
              </w:rPr>
              <w:t>Investment/lifecycle</w:t>
            </w:r>
          </w:p>
        </w:tc>
        <w:tc>
          <w:tcPr>
            <w:tcW w:type="dxa" w:w="3408"/>
          </w:tcPr>
          <w:p>
            <w:pPr>
              <w:spacing w:after="20"/>
            </w:pPr>
            <w:r>
              <w:rPr>
                <w:sz w:val="15"/>
              </w:rPr>
              <w:t>CAPEX/OPEX, TCO, utilization, third-party costs, cash flow, break-even?</w:t>
            </w:r>
          </w:p>
        </w:tc>
        <w:tc>
          <w:tcPr>
            <w:tcW w:type="dxa" w:w="3408"/>
          </w:tcPr>
          <w:p>
            <w:pPr>
              <w:spacing w:after="20"/>
            </w:pPr>
            <w:r>
              <w:rPr>
                <w:sz w:val="15"/>
              </w:rPr>
              <w:t>Assumptions; scenarios; quotes; cost model; sensitivity analysis; investment case.</w:t>
            </w:r>
          </w:p>
        </w:tc>
      </w:tr>
      <w:tr>
        <w:tc>
          <w:tcPr>
            <w:tcW w:type="dxa" w:w="3408"/>
          </w:tcPr>
          <w:p>
            <w:pPr>
              <w:spacing w:after="20"/>
            </w:pPr>
            <w:r>
              <w:rPr>
                <w:sz w:val="15"/>
              </w:rPr>
              <w:t>Service operations</w:t>
            </w:r>
          </w:p>
        </w:tc>
        <w:tc>
          <w:tcPr>
            <w:tcW w:type="dxa" w:w="3408"/>
          </w:tcPr>
          <w:p>
            <w:pPr>
              <w:spacing w:after="20"/>
            </w:pPr>
            <w:r>
              <w:rPr>
                <w:sz w:val="15"/>
              </w:rPr>
              <w:t>Scope, availability measurement, response, exclusions and dependencies?</w:t>
            </w:r>
          </w:p>
        </w:tc>
        <w:tc>
          <w:tcPr>
            <w:tcW w:type="dxa" w:w="3408"/>
          </w:tcPr>
          <w:p>
            <w:pPr>
              <w:spacing w:after="20"/>
            </w:pPr>
            <w:r>
              <w:rPr>
                <w:sz w:val="15"/>
              </w:rPr>
              <w:t>Service catalogue; RACI; incident/change process; SLA/SLO; recovery; runbooks; reviews.</w:t>
            </w:r>
          </w:p>
        </w:tc>
      </w:tr>
    </w:tbl>
    <w:p/>
    <w:p>
      <w:pPr>
        <w:pStyle w:val="Heading1"/>
      </w:pPr>
      <w:r>
        <w:t>5. Proposed VS Code HoldCo repository additions</w:t>
      </w:r>
    </w:p>
    <w:p>
      <w:r>
        <w:t>Additive proposal only. Inspect current tree and reuse existing Australia, framework, standards, procurement, commercialization, domain and Deployment Operator assets. Do not duplicate architecture or governance trees.</w:t>
      </w:r>
    </w:p>
    <w:p>
      <w:r>
        <w:rPr>
          <w:rFonts w:ascii="Consolas" w:hAnsi="Consolas"/>
          <w:sz w:val="15"/>
        </w:rPr>
        <w:t>00_holdco_factory/</w:t>
        <w:br/>
        <w:t xml:space="preserve">  policy_alignment/australia/</w:t>
        <w:br/>
        <w:t xml:space="preserve">    README.md; policy_register.md; national_ai_plan_alignment.md</w:t>
        <w:br/>
        <w:t xml:space="preserve">    national_quantum_strategy_alignment.md</w:t>
        <w:br/>
        <w:t xml:space="preserve">    data_centre_ai_infrastructure_expectations.md</w:t>
        <w:br/>
        <w:t xml:space="preserve">    ai_infrastructure_consultation_watch.md</w:t>
        <w:br/>
        <w:t xml:space="preserve">    state_territory_local_applicability.md</w:t>
        <w:br/>
        <w:t xml:space="preserve">    policy_to_capability_mapping.md; policy_change_log.md</w:t>
        <w:br/>
        <w:t xml:space="preserve">  enterprise_library/governance/requirements_traceability/</w:t>
        <w:br/>
        <w:t xml:space="preserve">    README.md; requirements_register_template.csv</w:t>
        <w:br/>
        <w:t xml:space="preserve">    evidence_register_template.csv; decision_and_exception_log_template.md</w:t>
        <w:br/>
        <w:t xml:space="preserve">  enterprise_library/governance/stage_gates/</w:t>
        <w:br/>
        <w:t xml:space="preserve">    qai_dcaas_gate_criteria.md; gate_evidence_checklist.md</w:t>
        <w:br/>
        <w:t xml:space="preserve">  enterprise_library/architecture_models/qai_dcaas/</w:t>
        <w:br/>
        <w:t xml:space="preserve">    README.md; economic_domain_logical_physical_mapping.md</w:t>
        <w:br/>
        <w:t xml:space="preserve">    service_boundary_and_responsibility_model.md; deployment_profiles.md</w:t>
        <w:br/>
        <w:t xml:space="preserve">    energy_water_measurement_model.md; hybrid_quantum_classical_integration.md</w:t>
        <w:br/>
        <w:t xml:space="preserve">  enterprise_library/service_catalog/qai_dcaas/</w:t>
        <w:br/>
        <w:t xml:space="preserve">    README.md; service_offers.md; service_boundaries_sla_slo.md</w:t>
        <w:br/>
        <w:t xml:space="preserve">    onboarding_and_exit.md; pricing_cost_model_inputs.md</w:t>
        <w:br/>
        <w:t xml:space="preserve">  enterprise_library/domain_packs/</w:t>
        <w:br/>
        <w:t xml:space="preserve">    common/domain_pack_template.md</w:t>
        <w:br/>
        <w:t xml:space="preserve">    agriculture/digital_farm_water_optimisation.md</w:t>
        <w:br/>
        <w:t xml:space="preserve">    agriculture/pilot_acceptance_metrics.md</w:t>
        <w:br/>
        <w:t xml:space="preserve">    energy/energy_flexibility_use_cases.md</w:t>
        <w:br/>
        <w:t xml:space="preserve">    manufacturing/production_quality_use_cases.md</w:t>
        <w:br/>
        <w:t xml:space="preserve">    logistics/routing_supply_chain_use_cases.md</w:t>
        <w:br/>
        <w:t xml:space="preserve">  qai_platform/resource_profiles/</w:t>
        <w:br/>
        <w:t xml:space="preserve">    resource_profile_schema.md; backend_capability_matrix.csv</w:t>
        <w:br/>
        <w:t xml:space="preserve">  qai_platform/evidence/</w:t>
        <w:br/>
        <w:t xml:space="preserve">    experiment_record_template.md; classical_baseline_template.md</w:t>
        <w:br/>
        <w:t xml:space="preserve">    validation_report_template.md</w:t>
        <w:br/>
        <w:t xml:space="preserve">  programmes/australia_qai_dcaas/</w:t>
        <w:br/>
        <w:t xml:space="preserve">    README.md; programme_charter.md; work_breakdown_structure.md</w:t>
        <w:br/>
        <w:t xml:space="preserve">    milestone_and_stage_gate_plan.md; risk_issue_dependency_log.csv</w:t>
        <w:br/>
        <w:t xml:space="preserve">    stakeholder_partner_map.csv</w:t>
        <w:br/>
        <w:t xml:space="preserve">  commercialisation/qai_dcaas/</w:t>
        <w:br/>
        <w:t xml:space="preserve">    README.md; client_discovery_template.md; pilot_proposal_template.md</w:t>
        <w:br/>
        <w:t xml:space="preserve">    investment_case_template.md; benefits_realisation_template.md</w:t>
        <w:br/>
        <w:t xml:space="preserve">  assurance/</w:t>
        <w:br/>
        <w:t xml:space="preserve">    standards_register.csv; control_to_evidence_mapping.csv</w:t>
        <w:br/>
        <w:t xml:space="preserve">    security_privacy_data_sovereignty.md; energy_water_reporting_method.md</w:t>
        <w:br/>
        <w:t xml:space="preserve">    assurance_and_certification_claims.md</w:t>
        <w:br/>
        <w:t xml:space="preserve">  monitoring/policy_watch/</w:t>
        <w:br/>
        <w:t xml:space="preserve">    README.md; review_calendar.md; source_change_log.csv</w:t>
      </w:r>
    </w:p>
    <w:p>
      <w:r>
        <w:t>The paths are illustrative. If an equivalent exists under frameworks, country_priorities/australia, standards_assurance_framework, procurement_alignment_framework, commercialization_pathways or Deployment Operator, extend it and link from one index rather than copying it.</w:t>
      </w:r>
    </w:p>
    <w:p>
      <w:pPr>
        <w:pStyle w:val="Heading2"/>
      </w:pPr>
      <w:r>
        <w:t>5.1 Key file responsibilities</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File</w:t>
            </w:r>
          </w:p>
        </w:tc>
        <w:tc>
          <w:tcPr>
            <w:tcW w:type="dxa" w:w="3408"/>
            <w:shd w:fill="17365D"/>
          </w:tcPr>
          <w:p>
            <w:r>
              <w:rPr>
                <w:b/>
                <w:color w:val="FFFFFF"/>
                <w:sz w:val="16"/>
              </w:rPr>
              <w:t>Required content</w:t>
            </w:r>
          </w:p>
        </w:tc>
        <w:tc>
          <w:tcPr>
            <w:tcW w:type="dxa" w:w="3408"/>
            <w:shd w:fill="17365D"/>
          </w:tcPr>
          <w:p>
            <w:r>
              <w:rPr>
                <w:b/>
                <w:color w:val="FFFFFF"/>
                <w:sz w:val="16"/>
              </w:rPr>
              <w:t>Owner</w:t>
            </w:r>
          </w:p>
        </w:tc>
      </w:tr>
      <w:tr>
        <w:tc>
          <w:tcPr>
            <w:tcW w:type="dxa" w:w="3408"/>
          </w:tcPr>
          <w:p>
            <w:pPr>
              <w:spacing w:after="20"/>
            </w:pPr>
            <w:r>
              <w:rPr>
                <w:sz w:val="15"/>
              </w:rPr>
              <w:t>policy_register.md</w:t>
            </w:r>
          </w:p>
        </w:tc>
        <w:tc>
          <w:tcPr>
            <w:tcW w:type="dxa" w:w="3408"/>
          </w:tcPr>
          <w:p>
            <w:pPr>
              <w:spacing w:after="20"/>
            </w:pPr>
            <w:r>
              <w:rPr>
                <w:sz w:val="15"/>
              </w:rPr>
              <w:t>Source, jurisdiction, date/status, scope, applicability, owner, review date.</w:t>
            </w:r>
          </w:p>
        </w:tc>
        <w:tc>
          <w:tcPr>
            <w:tcW w:type="dxa" w:w="3408"/>
          </w:tcPr>
          <w:p>
            <w:pPr>
              <w:spacing w:after="20"/>
            </w:pPr>
            <w:r>
              <w:rPr>
                <w:sz w:val="15"/>
              </w:rPr>
              <w:t>Policy/assurance</w:t>
            </w:r>
          </w:p>
        </w:tc>
      </w:tr>
      <w:tr>
        <w:tc>
          <w:tcPr>
            <w:tcW w:type="dxa" w:w="3408"/>
          </w:tcPr>
          <w:p>
            <w:pPr>
              <w:spacing w:after="20"/>
            </w:pPr>
            <w:r>
              <w:rPr>
                <w:sz w:val="15"/>
              </w:rPr>
              <w:t>policy_to_capability_mapping.md</w:t>
            </w:r>
          </w:p>
        </w:tc>
        <w:tc>
          <w:tcPr>
            <w:tcW w:type="dxa" w:w="3408"/>
          </w:tcPr>
          <w:p>
            <w:pPr>
              <w:spacing w:after="20"/>
            </w:pPr>
            <w:r>
              <w:rPr>
                <w:sz w:val="15"/>
              </w:rPr>
              <w:t>Statement → requirement → capability → work package → evidence → gate → gap.</w:t>
            </w:r>
          </w:p>
        </w:tc>
        <w:tc>
          <w:tcPr>
            <w:tcW w:type="dxa" w:w="3408"/>
          </w:tcPr>
          <w:p>
            <w:pPr>
              <w:spacing w:after="20"/>
            </w:pPr>
            <w:r>
              <w:rPr>
                <w:sz w:val="15"/>
              </w:rPr>
              <w:t>Architecture + assurance</w:t>
            </w:r>
          </w:p>
        </w:tc>
      </w:tr>
      <w:tr>
        <w:tc>
          <w:tcPr>
            <w:tcW w:type="dxa" w:w="3408"/>
          </w:tcPr>
          <w:p>
            <w:pPr>
              <w:spacing w:after="20"/>
            </w:pPr>
            <w:r>
              <w:rPr>
                <w:sz w:val="15"/>
              </w:rPr>
              <w:t>national_ai_plan_alignment.md</w:t>
            </w:r>
          </w:p>
        </w:tc>
        <w:tc>
          <w:tcPr>
            <w:tcW w:type="dxa" w:w="3408"/>
          </w:tcPr>
          <w:p>
            <w:pPr>
              <w:spacing w:after="20"/>
            </w:pPr>
            <w:r>
              <w:rPr>
                <w:sz w:val="15"/>
              </w:rPr>
              <w:t>Three goals mapped to offers, adoption, skills, safety and outcomes.</w:t>
            </w:r>
          </w:p>
        </w:tc>
        <w:tc>
          <w:tcPr>
            <w:tcW w:type="dxa" w:w="3408"/>
          </w:tcPr>
          <w:p>
            <w:pPr>
              <w:spacing w:after="20"/>
            </w:pPr>
            <w:r>
              <w:rPr>
                <w:sz w:val="15"/>
              </w:rPr>
              <w:t>AI product/service</w:t>
            </w:r>
          </w:p>
        </w:tc>
      </w:tr>
      <w:tr>
        <w:tc>
          <w:tcPr>
            <w:tcW w:type="dxa" w:w="3408"/>
          </w:tcPr>
          <w:p>
            <w:pPr>
              <w:spacing w:after="20"/>
            </w:pPr>
            <w:r>
              <w:rPr>
                <w:sz w:val="15"/>
              </w:rPr>
              <w:t>national_quantum_strategy_alignment.md</w:t>
            </w:r>
          </w:p>
        </w:tc>
        <w:tc>
          <w:tcPr>
            <w:tcW w:type="dxa" w:w="3408"/>
          </w:tcPr>
          <w:p>
            <w:pPr>
              <w:spacing w:after="20"/>
            </w:pPr>
            <w:r>
              <w:rPr>
                <w:sz w:val="15"/>
              </w:rPr>
              <w:t>Five themes mapped to use cases, infrastructure, workforce, standards and trust.</w:t>
            </w:r>
          </w:p>
        </w:tc>
        <w:tc>
          <w:tcPr>
            <w:tcW w:type="dxa" w:w="3408"/>
          </w:tcPr>
          <w:p>
            <w:pPr>
              <w:spacing w:after="20"/>
            </w:pPr>
            <w:r>
              <w:rPr>
                <w:sz w:val="15"/>
              </w:rPr>
              <w:t>Quantum/QAI technical</w:t>
            </w:r>
          </w:p>
        </w:tc>
      </w:tr>
      <w:tr>
        <w:tc>
          <w:tcPr>
            <w:tcW w:type="dxa" w:w="3408"/>
          </w:tcPr>
          <w:p>
            <w:pPr>
              <w:spacing w:after="20"/>
            </w:pPr>
            <w:r>
              <w:rPr>
                <w:sz w:val="15"/>
              </w:rPr>
              <w:t>data_centre_ai_infrastructure_expectations.md</w:t>
            </w:r>
          </w:p>
        </w:tc>
        <w:tc>
          <w:tcPr>
            <w:tcW w:type="dxa" w:w="3408"/>
          </w:tcPr>
          <w:p>
            <w:pPr>
              <w:spacing w:after="20"/>
            </w:pPr>
            <w:r>
              <w:rPr>
                <w:sz w:val="15"/>
              </w:rPr>
              <w:t>National interest, energy, water, workforce, innovation/local capability and applicability.</w:t>
            </w:r>
          </w:p>
        </w:tc>
        <w:tc>
          <w:tcPr>
            <w:tcW w:type="dxa" w:w="3408"/>
          </w:tcPr>
          <w:p>
            <w:pPr>
              <w:spacing w:after="20"/>
            </w:pPr>
            <w:r>
              <w:rPr>
                <w:sz w:val="15"/>
              </w:rPr>
              <w:t>Infrastructure/sustainability</w:t>
            </w:r>
          </w:p>
        </w:tc>
      </w:tr>
      <w:tr>
        <w:tc>
          <w:tcPr>
            <w:tcW w:type="dxa" w:w="3408"/>
          </w:tcPr>
          <w:p>
            <w:pPr>
              <w:spacing w:after="20"/>
            </w:pPr>
            <w:r>
              <w:rPr>
                <w:sz w:val="15"/>
              </w:rPr>
              <w:t>state_territory_local_applicability.md</w:t>
            </w:r>
          </w:p>
        </w:tc>
        <w:tc>
          <w:tcPr>
            <w:tcW w:type="dxa" w:w="3408"/>
          </w:tcPr>
          <w:p>
            <w:pPr>
              <w:spacing w:after="20"/>
            </w:pPr>
            <w:r>
              <w:rPr>
                <w:sz w:val="15"/>
              </w:rPr>
              <w:t>Site/customer-specific requirements, sources and specialist review questions.</w:t>
            </w:r>
          </w:p>
        </w:tc>
        <w:tc>
          <w:tcPr>
            <w:tcW w:type="dxa" w:w="3408"/>
          </w:tcPr>
          <w:p>
            <w:pPr>
              <w:spacing w:after="20"/>
            </w:pPr>
            <w:r>
              <w:rPr>
                <w:sz w:val="15"/>
              </w:rPr>
              <w:t>Jurisdiction lead/adviser</w:t>
            </w:r>
          </w:p>
        </w:tc>
      </w:tr>
      <w:tr>
        <w:tc>
          <w:tcPr>
            <w:tcW w:type="dxa" w:w="3408"/>
          </w:tcPr>
          <w:p>
            <w:pPr>
              <w:spacing w:after="20"/>
            </w:pPr>
            <w:r>
              <w:rPr>
                <w:sz w:val="15"/>
              </w:rPr>
              <w:t>requirements_register_template.csv</w:t>
            </w:r>
          </w:p>
        </w:tc>
        <w:tc>
          <w:tcPr>
            <w:tcW w:type="dxa" w:w="3408"/>
          </w:tcPr>
          <w:p>
            <w:pPr>
              <w:spacing w:after="20"/>
            </w:pPr>
            <w:r>
              <w:rPr>
                <w:sz w:val="15"/>
              </w:rPr>
              <w:t>ID, source/status, applicability, rationale, requirement, control, owner, work package, evidence, gate, due date/status.</w:t>
            </w:r>
          </w:p>
        </w:tc>
        <w:tc>
          <w:tcPr>
            <w:tcW w:type="dxa" w:w="3408"/>
          </w:tcPr>
          <w:p>
            <w:pPr>
              <w:spacing w:after="20"/>
            </w:pPr>
            <w:r>
              <w:rPr>
                <w:sz w:val="15"/>
              </w:rPr>
              <w:t>Programme controls</w:t>
            </w:r>
          </w:p>
        </w:tc>
      </w:tr>
      <w:tr>
        <w:tc>
          <w:tcPr>
            <w:tcW w:type="dxa" w:w="3408"/>
          </w:tcPr>
          <w:p>
            <w:pPr>
              <w:spacing w:after="20"/>
            </w:pPr>
            <w:r>
              <w:rPr>
                <w:sz w:val="15"/>
              </w:rPr>
              <w:t>energy_water_measurement_model.md</w:t>
            </w:r>
          </w:p>
        </w:tc>
        <w:tc>
          <w:tcPr>
            <w:tcW w:type="dxa" w:w="3408"/>
          </w:tcPr>
          <w:p>
            <w:pPr>
              <w:spacing w:after="20"/>
            </w:pPr>
            <w:r>
              <w:rPr>
                <w:sz w:val="15"/>
              </w:rPr>
              <w:t>Boundary, units, source, period, assumptions, PUE/WUE if appropriate, limitations.</w:t>
            </w:r>
          </w:p>
        </w:tc>
        <w:tc>
          <w:tcPr>
            <w:tcW w:type="dxa" w:w="3408"/>
          </w:tcPr>
          <w:p>
            <w:pPr>
              <w:spacing w:after="20"/>
            </w:pPr>
            <w:r>
              <w:rPr>
                <w:sz w:val="15"/>
              </w:rPr>
              <w:t>Infrastructure/sustainability</w:t>
            </w:r>
          </w:p>
        </w:tc>
      </w:tr>
      <w:tr>
        <w:tc>
          <w:tcPr>
            <w:tcW w:type="dxa" w:w="3408"/>
          </w:tcPr>
          <w:p>
            <w:pPr>
              <w:spacing w:after="20"/>
            </w:pPr>
            <w:r>
              <w:rPr>
                <w:sz w:val="15"/>
              </w:rPr>
              <w:t>backend_capability_matrix.csv</w:t>
            </w:r>
          </w:p>
        </w:tc>
        <w:tc>
          <w:tcPr>
            <w:tcW w:type="dxa" w:w="3408"/>
          </w:tcPr>
          <w:p>
            <w:pPr>
              <w:spacing w:after="20"/>
            </w:pPr>
            <w:r>
              <w:rPr>
                <w:sz w:val="15"/>
              </w:rPr>
              <w:t>Provider/modality, interface, location, access, terms, latency, cost, security, validation, fallback.</w:t>
            </w:r>
          </w:p>
        </w:tc>
        <w:tc>
          <w:tcPr>
            <w:tcW w:type="dxa" w:w="3408"/>
          </w:tcPr>
          <w:p>
            <w:pPr>
              <w:spacing w:after="20"/>
            </w:pPr>
            <w:r>
              <w:rPr>
                <w:sz w:val="15"/>
              </w:rPr>
              <w:t>Platform engineering</w:t>
            </w:r>
          </w:p>
        </w:tc>
      </w:tr>
      <w:tr>
        <w:tc>
          <w:tcPr>
            <w:tcW w:type="dxa" w:w="3408"/>
          </w:tcPr>
          <w:p>
            <w:pPr>
              <w:spacing w:after="20"/>
            </w:pPr>
            <w:r>
              <w:rPr>
                <w:sz w:val="15"/>
              </w:rPr>
              <w:t>domain_pack_template.md</w:t>
            </w:r>
          </w:p>
        </w:tc>
        <w:tc>
          <w:tcPr>
            <w:tcW w:type="dxa" w:w="3408"/>
          </w:tcPr>
          <w:p>
            <w:pPr>
              <w:spacing w:after="20"/>
            </w:pPr>
            <w:r>
              <w:rPr>
                <w:sz w:val="15"/>
              </w:rPr>
              <w:t>Problem, users, workflow, data, constraints, baseline, metrics, integration, risks, acceptance.</w:t>
            </w:r>
          </w:p>
        </w:tc>
        <w:tc>
          <w:tcPr>
            <w:tcW w:type="dxa" w:w="3408"/>
          </w:tcPr>
          <w:p>
            <w:pPr>
              <w:spacing w:after="20"/>
            </w:pPr>
            <w:r>
              <w:rPr>
                <w:sz w:val="15"/>
              </w:rPr>
              <w:t>Domain product owner</w:t>
            </w:r>
          </w:p>
        </w:tc>
      </w:tr>
      <w:tr>
        <w:tc>
          <w:tcPr>
            <w:tcW w:type="dxa" w:w="3408"/>
          </w:tcPr>
          <w:p>
            <w:pPr>
              <w:spacing w:after="20"/>
            </w:pPr>
            <w:r>
              <w:rPr>
                <w:sz w:val="15"/>
              </w:rPr>
              <w:t>qai_dcaas_gate_criteria.md</w:t>
            </w:r>
          </w:p>
        </w:tc>
        <w:tc>
          <w:tcPr>
            <w:tcW w:type="dxa" w:w="3408"/>
          </w:tcPr>
          <w:p>
            <w:pPr>
              <w:spacing w:after="20"/>
            </w:pPr>
            <w:r>
              <w:rPr>
                <w:sz w:val="15"/>
              </w:rPr>
              <w:t>Entry/exit criteria, decision owner, evidence, stop/rework triggers.</w:t>
            </w:r>
          </w:p>
        </w:tc>
        <w:tc>
          <w:tcPr>
            <w:tcW w:type="dxa" w:w="3408"/>
          </w:tcPr>
          <w:p>
            <w:pPr>
              <w:spacing w:after="20"/>
            </w:pPr>
            <w:r>
              <w:rPr>
                <w:sz w:val="15"/>
              </w:rPr>
              <w:t>Programme manager + technical authority</w:t>
            </w:r>
          </w:p>
        </w:tc>
      </w:tr>
      <w:tr>
        <w:tc>
          <w:tcPr>
            <w:tcW w:type="dxa" w:w="3408"/>
          </w:tcPr>
          <w:p>
            <w:pPr>
              <w:spacing w:after="20"/>
            </w:pPr>
            <w:r>
              <w:rPr>
                <w:sz w:val="15"/>
              </w:rPr>
              <w:t>assurance_and_certification_claims.md</w:t>
            </w:r>
          </w:p>
        </w:tc>
        <w:tc>
          <w:tcPr>
            <w:tcW w:type="dxa" w:w="3408"/>
          </w:tcPr>
          <w:p>
            <w:pPr>
              <w:spacing w:after="20"/>
            </w:pPr>
            <w:r>
              <w:rPr>
                <w:sz w:val="15"/>
              </w:rPr>
              <w:t>Exact claim, scope, evidence, assessor, review date, prohibited wording.</w:t>
            </w:r>
          </w:p>
        </w:tc>
        <w:tc>
          <w:tcPr>
            <w:tcW w:type="dxa" w:w="3408"/>
          </w:tcPr>
          <w:p>
            <w:pPr>
              <w:spacing w:after="20"/>
            </w:pPr>
            <w:r>
              <w:rPr>
                <w:sz w:val="15"/>
              </w:rPr>
              <w:t>Assurance lead</w:t>
            </w:r>
          </w:p>
        </w:tc>
      </w:tr>
    </w:tbl>
    <w:p/>
    <w:p>
      <w:pPr>
        <w:pStyle w:val="Heading1"/>
      </w:pPr>
      <w:r>
        <w:t>6. Policy-to-work-package method</w:t>
      </w:r>
    </w:p>
    <w:p>
      <w:pPr>
        <w:pStyle w:val="ListNumber"/>
      </w:pPr>
      <w:r>
        <w:t>Capture exact source statement and link; record date, jurisdiction, status and scope.</w:t>
      </w:r>
    </w:p>
    <w:p>
      <w:pPr>
        <w:pStyle w:val="ListNumber"/>
      </w:pPr>
      <w:r>
        <w:t>Decide applicability: applicable, potentially applicable, not applicable with rationale, or awaiting qualified review.</w:t>
      </w:r>
    </w:p>
    <w:p>
      <w:pPr>
        <w:pStyle w:val="ListNumber"/>
      </w:pPr>
      <w:r>
        <w:t>Translate applicable statements into testable requirements, design constraints or governance commitments.</w:t>
      </w:r>
    </w:p>
    <w:p>
      <w:pPr>
        <w:pStyle w:val="ListNumber"/>
      </w:pPr>
      <w:r>
        <w:t>Map each requirement to existing capability or identify a gap; link to canonical architecture instead of copying it.</w:t>
      </w:r>
    </w:p>
    <w:p>
      <w:pPr>
        <w:pStyle w:val="ListNumber"/>
      </w:pPr>
      <w:r>
        <w:t>Create a work package with owner, dependencies, estimate, acceptance criteria, risks and deliverable.</w:t>
      </w:r>
    </w:p>
    <w:p>
      <w:pPr>
        <w:pStyle w:val="ListNumber"/>
      </w:pPr>
      <w:r>
        <w:t>Define evidence before implementation: test, metric, document, supplier confirmation, approval or independent assessment.</w:t>
      </w:r>
    </w:p>
    <w:p>
      <w:pPr>
        <w:pStyle w:val="ListNumber"/>
      </w:pPr>
      <w:r>
        <w:t>Assign stage gate and decision owner; record approve, conditional approve, rework, hold or stop.</w:t>
      </w:r>
    </w:p>
    <w:p>
      <w:pPr>
        <w:pStyle w:val="ListNumber"/>
      </w:pPr>
      <w:r>
        <w:t>After delivery, capture results, deviations, lessons, costs and residual risks; update register and policy watch.</w:t>
      </w:r>
    </w:p>
    <w:p>
      <w:pPr>
        <w:pStyle w:val="Heading1"/>
      </w:pPr>
      <w:r>
        <w:t>7. QAI-DCaaS stage gates</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Gate</w:t>
            </w:r>
          </w:p>
        </w:tc>
        <w:tc>
          <w:tcPr>
            <w:tcW w:type="dxa" w:w="3408"/>
            <w:shd w:fill="17365D"/>
          </w:tcPr>
          <w:p>
            <w:r>
              <w:rPr>
                <w:b/>
                <w:color w:val="FFFFFF"/>
                <w:sz w:val="16"/>
              </w:rPr>
              <w:t>Decision</w:t>
            </w:r>
          </w:p>
        </w:tc>
        <w:tc>
          <w:tcPr>
            <w:tcW w:type="dxa" w:w="3408"/>
            <w:shd w:fill="17365D"/>
          </w:tcPr>
          <w:p>
            <w:r>
              <w:rPr>
                <w:b/>
                <w:color w:val="FFFFFF"/>
                <w:sz w:val="16"/>
              </w:rPr>
              <w:t>Minimum evidence</w:t>
            </w:r>
          </w:p>
        </w:tc>
      </w:tr>
      <w:tr>
        <w:tc>
          <w:tcPr>
            <w:tcW w:type="dxa" w:w="3408"/>
          </w:tcPr>
          <w:p>
            <w:pPr>
              <w:spacing w:after="20"/>
            </w:pPr>
            <w:r>
              <w:rPr>
                <w:sz w:val="15"/>
              </w:rPr>
              <w:t>G0 Opportunity fit</w:t>
            </w:r>
          </w:p>
        </w:tc>
        <w:tc>
          <w:tcPr>
            <w:tcW w:type="dxa" w:w="3408"/>
          </w:tcPr>
          <w:p>
            <w:pPr>
              <w:spacing w:after="20"/>
            </w:pPr>
            <w:r>
              <w:rPr>
                <w:sz w:val="15"/>
              </w:rPr>
              <w:t>Real client/national/domain need?</w:t>
            </w:r>
          </w:p>
        </w:tc>
        <w:tc>
          <w:tcPr>
            <w:tcW w:type="dxa" w:w="3408"/>
          </w:tcPr>
          <w:p>
            <w:pPr>
              <w:spacing w:after="20"/>
            </w:pPr>
            <w:r>
              <w:rPr>
                <w:sz w:val="15"/>
              </w:rPr>
              <w:t>Problem, user, strategic fit, applicability and exclusions.</w:t>
            </w:r>
          </w:p>
        </w:tc>
      </w:tr>
      <w:tr>
        <w:tc>
          <w:tcPr>
            <w:tcW w:type="dxa" w:w="3408"/>
          </w:tcPr>
          <w:p>
            <w:pPr>
              <w:spacing w:after="20"/>
            </w:pPr>
            <w:r>
              <w:rPr>
                <w:sz w:val="15"/>
              </w:rPr>
              <w:t>G1 Discovery</w:t>
            </w:r>
          </w:p>
        </w:tc>
        <w:tc>
          <w:tcPr>
            <w:tcW w:type="dxa" w:w="3408"/>
          </w:tcPr>
          <w:p>
            <w:pPr>
              <w:spacing w:after="20"/>
            </w:pPr>
            <w:r>
              <w:rPr>
                <w:sz w:val="15"/>
              </w:rPr>
              <w:t>Current state and constraints understood?</w:t>
            </w:r>
          </w:p>
        </w:tc>
        <w:tc>
          <w:tcPr>
            <w:tcW w:type="dxa" w:w="3408"/>
          </w:tcPr>
          <w:p>
            <w:pPr>
              <w:spacing w:after="20"/>
            </w:pPr>
            <w:r>
              <w:rPr>
                <w:sz w:val="15"/>
              </w:rPr>
              <w:t>Requirements, data/IP rights, site/resource assumptions, baseline, stakeholders, dependencies.</w:t>
            </w:r>
          </w:p>
        </w:tc>
      </w:tr>
      <w:tr>
        <w:tc>
          <w:tcPr>
            <w:tcW w:type="dxa" w:w="3408"/>
          </w:tcPr>
          <w:p>
            <w:pPr>
              <w:spacing w:after="20"/>
            </w:pPr>
            <w:r>
              <w:rPr>
                <w:sz w:val="15"/>
              </w:rPr>
              <w:t>G2 Feasibility/business case</w:t>
            </w:r>
          </w:p>
        </w:tc>
        <w:tc>
          <w:tcPr>
            <w:tcW w:type="dxa" w:w="3408"/>
          </w:tcPr>
          <w:p>
            <w:pPr>
              <w:spacing w:after="20"/>
            </w:pPr>
            <w:r>
              <w:rPr>
                <w:sz w:val="15"/>
              </w:rPr>
              <w:t>Technically/economically plausible?</w:t>
            </w:r>
          </w:p>
        </w:tc>
        <w:tc>
          <w:tcPr>
            <w:tcW w:type="dxa" w:w="3408"/>
          </w:tcPr>
          <w:p>
            <w:pPr>
              <w:spacing w:after="20"/>
            </w:pPr>
            <w:r>
              <w:rPr>
                <w:sz w:val="15"/>
              </w:rPr>
              <w:t>Options, classical-first approach, TCO scenarios, energy/water assumptions, risks, partner path.</w:t>
            </w:r>
          </w:p>
        </w:tc>
      </w:tr>
      <w:tr>
        <w:tc>
          <w:tcPr>
            <w:tcW w:type="dxa" w:w="3408"/>
          </w:tcPr>
          <w:p>
            <w:pPr>
              <w:spacing w:after="20"/>
            </w:pPr>
            <w:r>
              <w:rPr>
                <w:sz w:val="15"/>
              </w:rPr>
              <w:t>G3 Architecture/assurance</w:t>
            </w:r>
          </w:p>
        </w:tc>
        <w:tc>
          <w:tcPr>
            <w:tcW w:type="dxa" w:w="3408"/>
          </w:tcPr>
          <w:p>
            <w:pPr>
              <w:spacing w:after="20"/>
            </w:pPr>
            <w:r>
              <w:rPr>
                <w:sz w:val="15"/>
              </w:rPr>
              <w:t>Coherent, secure, testable design?</w:t>
            </w:r>
          </w:p>
        </w:tc>
        <w:tc>
          <w:tcPr>
            <w:tcW w:type="dxa" w:w="3408"/>
          </w:tcPr>
          <w:p>
            <w:pPr>
              <w:spacing w:after="20"/>
            </w:pPr>
            <w:r>
              <w:rPr>
                <w:sz w:val="15"/>
              </w:rPr>
              <w:t>Architecture mapping, threat/data flow, compatibility, traceability, standards applicability.</w:t>
            </w:r>
          </w:p>
        </w:tc>
      </w:tr>
      <w:tr>
        <w:tc>
          <w:tcPr>
            <w:tcW w:type="dxa" w:w="3408"/>
          </w:tcPr>
          <w:p>
            <w:pPr>
              <w:spacing w:after="20"/>
            </w:pPr>
            <w:r>
              <w:rPr>
                <w:sz w:val="15"/>
              </w:rPr>
              <w:t>G4 Investment approval</w:t>
            </w:r>
          </w:p>
        </w:tc>
        <w:tc>
          <w:tcPr>
            <w:tcW w:type="dxa" w:w="3408"/>
          </w:tcPr>
          <w:p>
            <w:pPr>
              <w:spacing w:after="20"/>
            </w:pPr>
            <w:r>
              <w:rPr>
                <w:sz w:val="15"/>
              </w:rPr>
              <w:t>Commit resources?</w:t>
            </w:r>
          </w:p>
        </w:tc>
        <w:tc>
          <w:tcPr>
            <w:tcW w:type="dxa" w:w="3408"/>
          </w:tcPr>
          <w:p>
            <w:pPr>
              <w:spacing w:after="20"/>
            </w:pPr>
            <w:r>
              <w:rPr>
                <w:sz w:val="15"/>
              </w:rPr>
              <w:t>Scope, budget, funding source, owners, procurement route, risk acceptance, success criteria.</w:t>
            </w:r>
          </w:p>
        </w:tc>
      </w:tr>
      <w:tr>
        <w:tc>
          <w:tcPr>
            <w:tcW w:type="dxa" w:w="3408"/>
          </w:tcPr>
          <w:p>
            <w:pPr>
              <w:spacing w:after="20"/>
            </w:pPr>
            <w:r>
              <w:rPr>
                <w:sz w:val="15"/>
              </w:rPr>
              <w:t>G5 Detailed readiness</w:t>
            </w:r>
          </w:p>
        </w:tc>
        <w:tc>
          <w:tcPr>
            <w:tcW w:type="dxa" w:w="3408"/>
          </w:tcPr>
          <w:p>
            <w:pPr>
              <w:spacing w:after="20"/>
            </w:pPr>
            <w:r>
              <w:rPr>
                <w:sz w:val="15"/>
              </w:rPr>
              <w:t>Build/test can proceed safely?</w:t>
            </w:r>
          </w:p>
        </w:tc>
        <w:tc>
          <w:tcPr>
            <w:tcW w:type="dxa" w:w="3408"/>
          </w:tcPr>
          <w:p>
            <w:pPr>
              <w:spacing w:after="20"/>
            </w:pPr>
            <w:r>
              <w:rPr>
                <w:sz w:val="15"/>
              </w:rPr>
              <w:t>Deployment/rollback, environment, access, test plan, supplier readiness, change approval.</w:t>
            </w:r>
          </w:p>
        </w:tc>
      </w:tr>
      <w:tr>
        <w:tc>
          <w:tcPr>
            <w:tcW w:type="dxa" w:w="3408"/>
          </w:tcPr>
          <w:p>
            <w:pPr>
              <w:spacing w:after="20"/>
            </w:pPr>
            <w:r>
              <w:rPr>
                <w:sz w:val="15"/>
              </w:rPr>
              <w:t>G6 Build/integrate/verify</w:t>
            </w:r>
          </w:p>
        </w:tc>
        <w:tc>
          <w:tcPr>
            <w:tcW w:type="dxa" w:w="3408"/>
          </w:tcPr>
          <w:p>
            <w:pPr>
              <w:spacing w:after="20"/>
            </w:pPr>
            <w:r>
              <w:rPr>
                <w:sz w:val="15"/>
              </w:rPr>
              <w:t>Meets specification?</w:t>
            </w:r>
          </w:p>
        </w:tc>
        <w:tc>
          <w:tcPr>
            <w:tcW w:type="dxa" w:w="3408"/>
          </w:tcPr>
          <w:p>
            <w:pPr>
              <w:spacing w:after="20"/>
            </w:pPr>
            <w:r>
              <w:rPr>
                <w:sz w:val="15"/>
              </w:rPr>
              <w:t>Test results, reproducible deployment, configuration, exceptions, security/integration evidence.</w:t>
            </w:r>
          </w:p>
        </w:tc>
      </w:tr>
      <w:tr>
        <w:tc>
          <w:tcPr>
            <w:tcW w:type="dxa" w:w="3408"/>
          </w:tcPr>
          <w:p>
            <w:pPr>
              <w:spacing w:after="20"/>
            </w:pPr>
            <w:r>
              <w:rPr>
                <w:sz w:val="15"/>
              </w:rPr>
              <w:t>G7 Pilot/service acceptance</w:t>
            </w:r>
          </w:p>
        </w:tc>
        <w:tc>
          <w:tcPr>
            <w:tcW w:type="dxa" w:w="3408"/>
          </w:tcPr>
          <w:p>
            <w:pPr>
              <w:spacing w:after="20"/>
            </w:pPr>
            <w:r>
              <w:rPr>
                <w:sz w:val="15"/>
              </w:rPr>
              <w:t>Meets client/operational needs?</w:t>
            </w:r>
          </w:p>
        </w:tc>
        <w:tc>
          <w:tcPr>
            <w:tcW w:type="dxa" w:w="3408"/>
          </w:tcPr>
          <w:p>
            <w:pPr>
              <w:spacing w:after="20"/>
            </w:pPr>
            <w:r>
              <w:rPr>
                <w:sz w:val="15"/>
              </w:rPr>
              <w:t>Baseline comparison, acceptance, support/runbooks, cost/resource records, training.</w:t>
            </w:r>
          </w:p>
        </w:tc>
      </w:tr>
      <w:tr>
        <w:tc>
          <w:tcPr>
            <w:tcW w:type="dxa" w:w="3408"/>
          </w:tcPr>
          <w:p>
            <w:pPr>
              <w:spacing w:after="20"/>
            </w:pPr>
            <w:r>
              <w:rPr>
                <w:sz w:val="15"/>
              </w:rPr>
              <w:t>G8 Assurance/release</w:t>
            </w:r>
          </w:p>
        </w:tc>
        <w:tc>
          <w:tcPr>
            <w:tcW w:type="dxa" w:w="3408"/>
          </w:tcPr>
          <w:p>
            <w:pPr>
              <w:spacing w:after="20"/>
            </w:pPr>
            <w:r>
              <w:rPr>
                <w:sz w:val="15"/>
              </w:rPr>
              <w:t>Claims and controls supportable?</w:t>
            </w:r>
          </w:p>
        </w:tc>
        <w:tc>
          <w:tcPr>
            <w:tcW w:type="dxa" w:w="3408"/>
          </w:tcPr>
          <w:p>
            <w:pPr>
              <w:spacing w:after="20"/>
            </w:pPr>
            <w:r>
              <w:rPr>
                <w:sz w:val="15"/>
              </w:rPr>
              <w:t>Evidence pack, residual risks, approvals, contract terms, required independent assessment.</w:t>
            </w:r>
          </w:p>
        </w:tc>
      </w:tr>
      <w:tr>
        <w:tc>
          <w:tcPr>
            <w:tcW w:type="dxa" w:w="3408"/>
          </w:tcPr>
          <w:p>
            <w:pPr>
              <w:spacing w:after="20"/>
            </w:pPr>
            <w:r>
              <w:rPr>
                <w:sz w:val="15"/>
              </w:rPr>
              <w:t>G9 Operate/review/scale</w:t>
            </w:r>
          </w:p>
        </w:tc>
        <w:tc>
          <w:tcPr>
            <w:tcW w:type="dxa" w:w="3408"/>
          </w:tcPr>
          <w:p>
            <w:pPr>
              <w:spacing w:after="20"/>
            </w:pPr>
            <w:r>
              <w:rPr>
                <w:sz w:val="15"/>
              </w:rPr>
              <w:t>Continue, improve or expand?</w:t>
            </w:r>
          </w:p>
        </w:tc>
        <w:tc>
          <w:tcPr>
            <w:tcW w:type="dxa" w:w="3408"/>
          </w:tcPr>
          <w:p>
            <w:pPr>
              <w:spacing w:after="20"/>
            </w:pPr>
            <w:r>
              <w:rPr>
                <w:sz w:val="15"/>
              </w:rPr>
              <w:t>Service metrics, feedback, incident/change data, benefits, measurable energy/water data.</w:t>
            </w:r>
          </w:p>
        </w:tc>
      </w:tr>
    </w:tbl>
    <w:p/>
    <w:p>
      <w:r>
        <w:t>A gate may approve, conditionally approve, request rework, hold or stop. A checklist is not proof that a gate passed.</w:t>
      </w:r>
    </w:p>
    <w:p>
      <w:pPr>
        <w:pStyle w:val="Heading1"/>
      </w:pPr>
      <w:r>
        <w:t>8. Practical engineering requirements</w:t>
      </w:r>
    </w:p>
    <w:p>
      <w:pPr>
        <w:pStyle w:val="Heading2"/>
      </w:pPr>
      <w:r>
        <w:t>8.1 AI and quantum claims</w:t>
      </w:r>
    </w:p>
    <w:p>
      <w:pPr>
        <w:pStyle w:val="ListBullet"/>
      </w:pPr>
      <w:r>
        <w:t>Run a classical baseline first for optimisation/prediction; compare equivalent data, constraints, budgets and stopping criteria where feasible.</w:t>
      </w:r>
    </w:p>
    <w:p>
      <w:pPr>
        <w:pStyle w:val="ListBullet"/>
      </w:pPr>
      <w:r>
        <w:t>Use quantum/hybrid methods only with a justified question, access path, reproducible experiment and evaluation plan.</w:t>
      </w:r>
    </w:p>
    <w:p>
      <w:pPr>
        <w:pStyle w:val="ListBullet"/>
      </w:pPr>
      <w:r>
        <w:t>Record whether results are simulated, emulated, run on external quantum hardware or locally controlled hardware.</w:t>
      </w:r>
    </w:p>
    <w:p>
      <w:pPr>
        <w:pStyle w:val="ListBullet"/>
      </w:pPr>
      <w:r>
        <w:t>Do not claim quantum advantage, production readiness or improvement without evidence for the task and conditions.</w:t>
      </w:r>
    </w:p>
    <w:p>
      <w:pPr>
        <w:pStyle w:val="ListBullet"/>
      </w:pPr>
      <w:r>
        <w:t>Keep provider-specific control systems behind adapters. Generic FPGA abstraction is not interchangeable with a device-specific Quantum System Controller (QSC).</w:t>
      </w:r>
    </w:p>
    <w:p>
      <w:pPr>
        <w:pStyle w:val="Heading2"/>
      </w:pPr>
      <w:r>
        <w:t>8.2 Energy and water</w:t>
      </w:r>
    </w:p>
    <w:p>
      <w:pPr>
        <w:pStyle w:val="ListBullet"/>
      </w:pPr>
      <w:r>
        <w:t>Separate measured data from estimates/design assumptions; document boundaries and periods.</w:t>
      </w:r>
    </w:p>
    <w:p>
      <w:pPr>
        <w:pStyle w:val="ListBullet"/>
      </w:pPr>
      <w:r>
        <w:t>Track IT energy separately from facility energy where possible; define PUE only when inputs and boundary are available.</w:t>
      </w:r>
    </w:p>
    <w:p>
      <w:pPr>
        <w:pStyle w:val="ListBullet"/>
      </w:pPr>
      <w:r>
        <w:t>Define WUE and water-source categories where measurable; distinguish potable, non-potable and reused sources.</w:t>
      </w:r>
    </w:p>
    <w:p>
      <w:pPr>
        <w:pStyle w:val="ListBullet"/>
      </w:pPr>
      <w:r>
        <w:t>Record cooling, climate, drought exposure, water availability and grid/connection dependencies at relevant project scale.</w:t>
      </w:r>
    </w:p>
    <w:p>
      <w:pPr>
        <w:pStyle w:val="ListBullet"/>
      </w:pPr>
      <w:r>
        <w:t>Demand-driven allocation reduces energy/water only if resources actually reduce power/cooling demand or avoid capacity; deleting a virtual environment is not proof of savings.</w:t>
      </w:r>
    </w:p>
    <w:p>
      <w:pPr>
        <w:pStyle w:val="ListBullet"/>
      </w:pPr>
      <w:r>
        <w:t>For physical facilities, engage qualified facility, energy, water, planning and environmental professionals; repository documentation cannot establish site compliance.</w:t>
      </w:r>
    </w:p>
    <w:p>
      <w:pPr>
        <w:pStyle w:val="Heading2"/>
      </w:pPr>
      <w:r>
        <w:t>8.3 Client/domain requirements</w:t>
      </w:r>
    </w:p>
    <w:p>
      <w:pPr>
        <w:pStyle w:val="ListBullet"/>
      </w:pPr>
      <w:r>
        <w:t>Start with client problem, decision owner, workflow, baseline and acceptance criteria—not technology in search of a problem.</w:t>
      </w:r>
    </w:p>
    <w:p>
      <w:pPr>
        <w:pStyle w:val="ListBullet"/>
      </w:pPr>
      <w:r>
        <w:t>Use a common domain-pack template, then specialise metrics and constraints. Agriculture is a pilot example, not proof all domains share data or compliance profiles.</w:t>
      </w:r>
    </w:p>
    <w:p>
      <w:pPr>
        <w:pStyle w:val="ListBullet"/>
      </w:pPr>
      <w:r>
        <w:t>Agriculture: crop/soil/weather/water assumptions, irrigation constraints, sensor reliability, workflow, human approval, economic/environmental measures.</w:t>
      </w:r>
    </w:p>
    <w:p>
      <w:pPr>
        <w:pStyle w:val="ListBullet"/>
      </w:pPr>
      <w:r>
        <w:t>Other domains: define sector-specific safety, data, latency, availability and regulatory needs before selecting compute.</w:t>
      </w:r>
    </w:p>
    <w:p>
      <w:pPr>
        <w:pStyle w:val="Heading2"/>
      </w:pPr>
      <w:r>
        <w:t>8.4 Security, sovereignty and operations</w:t>
      </w:r>
    </w:p>
    <w:p>
      <w:pPr>
        <w:pStyle w:val="ListBullet"/>
      </w:pPr>
      <w:r>
        <w:t>Document where data is stored/processed, access, movement, retention and deletion.</w:t>
      </w:r>
    </w:p>
    <w:p>
      <w:pPr>
        <w:pStyle w:val="ListBullet"/>
      </w:pPr>
      <w:r>
        <w:t>Define identity, least privilege, secrets, audit logs, backup/recovery, incident response and supplier access.</w:t>
      </w:r>
    </w:p>
    <w:p>
      <w:pPr>
        <w:pStyle w:val="ListBullet"/>
      </w:pPr>
      <w:r>
        <w:t>Assess cross-border processing, provider terms, contracts and Australian obligations case by case; do not assume every dataset must always remain onshore.</w:t>
      </w:r>
    </w:p>
    <w:p>
      <w:pPr>
        <w:pStyle w:val="ListBullet"/>
      </w:pPr>
      <w:r>
        <w:t>Keep human approvals for consequential deployment, financial commitments, release and risk acceptance.</w:t>
      </w:r>
    </w:p>
    <w:p>
      <w:pPr>
        <w:pStyle w:val="ListBullet"/>
      </w:pPr>
      <w:r>
        <w:t>Separate internal development from client-facing environments and use approved release artefacts.</w:t>
      </w:r>
    </w:p>
    <w:p>
      <w:pPr>
        <w:pStyle w:val="Heading2"/>
      </w:pPr>
      <w:r>
        <w:t>8.5 Cost and service model</w:t>
      </w:r>
    </w:p>
    <w:p>
      <w:pPr>
        <w:pStyle w:val="ListBullet"/>
      </w:pPr>
      <w:r>
        <w:t>Model CAPEX/OPEX, cloud/QPU usage, networking, power, cooling, water, facility, software/licensing, labour, support, assurance, refresh and decommissioning as relevant.</w:t>
      </w:r>
    </w:p>
    <w:p>
      <w:pPr>
        <w:pStyle w:val="ListBullet"/>
      </w:pPr>
      <w:r>
        <w:t>Track cost per experiment/project/workload only after defining cost boundary and allocation method.</w:t>
      </w:r>
    </w:p>
    <w:p>
      <w:pPr>
        <w:pStyle w:val="ListBullet"/>
      </w:pPr>
      <w:r>
        <w:t>Define SLA/SLO scope, window, dependencies, exclusions, response and remedies; do not promise five-nines availability by default.</w:t>
      </w:r>
    </w:p>
    <w:p>
      <w:pPr>
        <w:pStyle w:val="ListBullet"/>
      </w:pPr>
      <w:r>
        <w:t>Offer staged packages: discovery; blueprint/feasibility; virtual proof; integration pilot; deployment/operations; portfolio optimisation.</w:t>
      </w:r>
    </w:p>
    <w:p>
      <w:pPr>
        <w:pStyle w:val="ListBullet"/>
      </w:pPr>
      <w:r>
        <w:t>Present ROI/NPV/IRR and cash-flow scenarios with assumptions; projections are not guaranteed returns.</w:t>
      </w:r>
    </w:p>
    <w:p>
      <w:pPr>
        <w:pStyle w:val="Heading1"/>
      </w:pPr>
      <w:r>
        <w:t>9. Initial offer and domain map</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Offer/domain</w:t>
            </w:r>
          </w:p>
        </w:tc>
        <w:tc>
          <w:tcPr>
            <w:tcW w:type="dxa" w:w="3408"/>
            <w:shd w:fill="17365D"/>
          </w:tcPr>
          <w:p>
            <w:r>
              <w:rPr>
                <w:b/>
                <w:color w:val="FFFFFF"/>
                <w:sz w:val="16"/>
              </w:rPr>
              <w:t>Initial use</w:t>
            </w:r>
          </w:p>
        </w:tc>
        <w:tc>
          <w:tcPr>
            <w:tcW w:type="dxa" w:w="3408"/>
            <w:shd w:fill="17365D"/>
          </w:tcPr>
          <w:p>
            <w:r>
              <w:rPr>
                <w:b/>
                <w:color w:val="FFFFFF"/>
                <w:sz w:val="16"/>
              </w:rPr>
              <w:t>Proof before expansion</w:t>
            </w:r>
          </w:p>
        </w:tc>
      </w:tr>
      <w:tr>
        <w:tc>
          <w:tcPr>
            <w:tcW w:type="dxa" w:w="3408"/>
          </w:tcPr>
          <w:p>
            <w:pPr>
              <w:spacing w:after="20"/>
            </w:pPr>
            <w:r>
              <w:rPr>
                <w:sz w:val="15"/>
              </w:rPr>
              <w:t>QAI-DCaaS discovery/blueprint</w:t>
            </w:r>
          </w:p>
        </w:tc>
        <w:tc>
          <w:tcPr>
            <w:tcW w:type="dxa" w:w="3408"/>
          </w:tcPr>
          <w:p>
            <w:pPr>
              <w:spacing w:after="20"/>
            </w:pPr>
            <w:r>
              <w:rPr>
                <w:sz w:val="15"/>
              </w:rPr>
              <w:t>Assess need, constraints, options, investment and service boundaries.</w:t>
            </w:r>
          </w:p>
        </w:tc>
        <w:tc>
          <w:tcPr>
            <w:tcW w:type="dxa" w:w="3408"/>
          </w:tcPr>
          <w:p>
            <w:pPr>
              <w:spacing w:after="20"/>
            </w:pPr>
            <w:r>
              <w:rPr>
                <w:sz w:val="15"/>
              </w:rPr>
              <w:t>Approved requirements, options, costs, risks, architecture.</w:t>
            </w:r>
          </w:p>
        </w:tc>
      </w:tr>
      <w:tr>
        <w:tc>
          <w:tcPr>
            <w:tcW w:type="dxa" w:w="3408"/>
          </w:tcPr>
          <w:p>
            <w:pPr>
              <w:spacing w:after="20"/>
            </w:pPr>
            <w:r>
              <w:rPr>
                <w:sz w:val="15"/>
              </w:rPr>
              <w:t>Virtual QAI Lab/PaaS</w:t>
            </w:r>
          </w:p>
        </w:tc>
        <w:tc>
          <w:tcPr>
            <w:tcW w:type="dxa" w:w="3408"/>
          </w:tcPr>
          <w:p>
            <w:pPr>
              <w:spacing w:after="20"/>
            </w:pPr>
            <w:r>
              <w:rPr>
                <w:sz w:val="15"/>
              </w:rPr>
              <w:t>Controlled experiments using CPU/GPU, simulators, data and workflows.</w:t>
            </w:r>
          </w:p>
        </w:tc>
        <w:tc>
          <w:tcPr>
            <w:tcW w:type="dxa" w:w="3408"/>
          </w:tcPr>
          <w:p>
            <w:pPr>
              <w:spacing w:after="20"/>
            </w:pPr>
            <w:r>
              <w:rPr>
                <w:sz w:val="15"/>
              </w:rPr>
              <w:t>Reproducibility, access controls, usage/cost records, baseline.</w:t>
            </w:r>
          </w:p>
        </w:tc>
      </w:tr>
      <w:tr>
        <w:tc>
          <w:tcPr>
            <w:tcW w:type="dxa" w:w="3408"/>
          </w:tcPr>
          <w:p>
            <w:pPr>
              <w:spacing w:after="20"/>
            </w:pPr>
            <w:r>
              <w:rPr>
                <w:sz w:val="15"/>
              </w:rPr>
              <w:t>Hybrid integration</w:t>
            </w:r>
          </w:p>
        </w:tc>
        <w:tc>
          <w:tcPr>
            <w:tcW w:type="dxa" w:w="3408"/>
          </w:tcPr>
          <w:p>
            <w:pPr>
              <w:spacing w:after="20"/>
            </w:pPr>
            <w:r>
              <w:rPr>
                <w:sz w:val="15"/>
              </w:rPr>
              <w:t>Connect suitable external quantum backend or simulator.</w:t>
            </w:r>
          </w:p>
        </w:tc>
        <w:tc>
          <w:tcPr>
            <w:tcW w:type="dxa" w:w="3408"/>
          </w:tcPr>
          <w:p>
            <w:pPr>
              <w:spacing w:after="20"/>
            </w:pPr>
            <w:r>
              <w:rPr>
                <w:sz w:val="15"/>
              </w:rPr>
              <w:t>Compatibility, provider terms, measured performance, fallback, security review.</w:t>
            </w:r>
          </w:p>
        </w:tc>
      </w:tr>
      <w:tr>
        <w:tc>
          <w:tcPr>
            <w:tcW w:type="dxa" w:w="3408"/>
          </w:tcPr>
          <w:p>
            <w:pPr>
              <w:spacing w:after="20"/>
            </w:pPr>
            <w:r>
              <w:rPr>
                <w:sz w:val="15"/>
              </w:rPr>
              <w:t>Digital Farm Intelligence</w:t>
            </w:r>
          </w:p>
        </w:tc>
        <w:tc>
          <w:tcPr>
            <w:tcW w:type="dxa" w:w="3408"/>
          </w:tcPr>
          <w:p>
            <w:pPr>
              <w:spacing w:after="20"/>
            </w:pPr>
            <w:r>
              <w:rPr>
                <w:sz w:val="15"/>
              </w:rPr>
              <w:t>Farm data, assets/workflows and decision support.</w:t>
            </w:r>
          </w:p>
        </w:tc>
        <w:tc>
          <w:tcPr>
            <w:tcW w:type="dxa" w:w="3408"/>
          </w:tcPr>
          <w:p>
            <w:pPr>
              <w:spacing w:after="20"/>
            </w:pPr>
            <w:r>
              <w:rPr>
                <w:sz w:val="15"/>
              </w:rPr>
              <w:t>Data quality, user acceptance, baseline and operating fit.</w:t>
            </w:r>
          </w:p>
        </w:tc>
      </w:tr>
      <w:tr>
        <w:tc>
          <w:tcPr>
            <w:tcW w:type="dxa" w:w="3408"/>
          </w:tcPr>
          <w:p>
            <w:pPr>
              <w:spacing w:after="20"/>
            </w:pPr>
            <w:r>
              <w:rPr>
                <w:sz w:val="15"/>
              </w:rPr>
              <w:t>Water/resource optimisation</w:t>
            </w:r>
          </w:p>
        </w:tc>
        <w:tc>
          <w:tcPr>
            <w:tcW w:type="dxa" w:w="3408"/>
          </w:tcPr>
          <w:p>
            <w:pPr>
              <w:spacing w:after="20"/>
            </w:pPr>
            <w:r>
              <w:rPr>
                <w:sz w:val="15"/>
              </w:rPr>
              <w:t>Irrigation/resource allocation with classical baseline and QAI candidate.</w:t>
            </w:r>
          </w:p>
        </w:tc>
        <w:tc>
          <w:tcPr>
            <w:tcW w:type="dxa" w:w="3408"/>
          </w:tcPr>
          <w:p>
            <w:pPr>
              <w:spacing w:after="20"/>
            </w:pPr>
            <w:r>
              <w:rPr>
                <w:sz w:val="15"/>
              </w:rPr>
              <w:t>Comparable scenarios, constraints, cost/benefit evidence, human approval.</w:t>
            </w:r>
          </w:p>
        </w:tc>
      </w:tr>
      <w:tr>
        <w:tc>
          <w:tcPr>
            <w:tcW w:type="dxa" w:w="3408"/>
          </w:tcPr>
          <w:p>
            <w:pPr>
              <w:spacing w:after="20"/>
            </w:pPr>
            <w:r>
              <w:rPr>
                <w:sz w:val="15"/>
              </w:rPr>
              <w:t>Energy/infrastructure optimisation</w:t>
            </w:r>
          </w:p>
        </w:tc>
        <w:tc>
          <w:tcPr>
            <w:tcW w:type="dxa" w:w="3408"/>
          </w:tcPr>
          <w:p>
            <w:pPr>
              <w:spacing w:after="20"/>
            </w:pPr>
            <w:r>
              <w:rPr>
                <w:sz w:val="15"/>
              </w:rPr>
              <w:t>Explore demand flexibility, scheduling, placement or utilization.</w:t>
            </w:r>
          </w:p>
        </w:tc>
        <w:tc>
          <w:tcPr>
            <w:tcW w:type="dxa" w:w="3408"/>
          </w:tcPr>
          <w:p>
            <w:pPr>
              <w:spacing w:after="20"/>
            </w:pPr>
            <w:r>
              <w:rPr>
                <w:sz w:val="15"/>
              </w:rPr>
              <w:t>Operational constraints, safety, baseline and validated benefit.</w:t>
            </w:r>
          </w:p>
        </w:tc>
      </w:tr>
      <w:tr>
        <w:tc>
          <w:tcPr>
            <w:tcW w:type="dxa" w:w="3408"/>
          </w:tcPr>
          <w:p>
            <w:pPr>
              <w:spacing w:after="20"/>
            </w:pPr>
            <w:r>
              <w:rPr>
                <w:sz w:val="15"/>
              </w:rPr>
              <w:t>Training/innovation enablement</w:t>
            </w:r>
          </w:p>
        </w:tc>
        <w:tc>
          <w:tcPr>
            <w:tcW w:type="dxa" w:w="3408"/>
          </w:tcPr>
          <w:p>
            <w:pPr>
              <w:spacing w:after="20"/>
            </w:pPr>
            <w:r>
              <w:rPr>
                <w:sz w:val="15"/>
              </w:rPr>
              <w:t>Train teams and support product development/market readiness.</w:t>
            </w:r>
          </w:p>
        </w:tc>
        <w:tc>
          <w:tcPr>
            <w:tcW w:type="dxa" w:w="3408"/>
          </w:tcPr>
          <w:p>
            <w:pPr>
              <w:spacing w:after="20"/>
            </w:pPr>
            <w:r>
              <w:rPr>
                <w:sz w:val="15"/>
              </w:rPr>
              <w:t>Competency, handover, support model, release acceptance.</w:t>
            </w:r>
          </w:p>
        </w:tc>
      </w:tr>
    </w:tbl>
    <w:p/>
    <w:p>
      <w:r>
        <w:t>Label offers by maturity: existing/tested; bounded prototype; experimental; planned; or third-party dependent. A catalogue entry is not proof of production readiness.</w:t>
      </w:r>
    </w:p>
    <w:p>
      <w:pPr>
        <w:pStyle w:val="Heading1"/>
      </w:pPr>
      <w:r>
        <w:t>10. Roles and responsibilities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Role</w:t>
            </w:r>
          </w:p>
        </w:tc>
        <w:tc>
          <w:tcPr>
            <w:tcW w:type="dxa" w:w="5112"/>
            <w:shd w:fill="17365D"/>
          </w:tcPr>
          <w:p>
            <w:r>
              <w:rPr>
                <w:b/>
                <w:color w:val="FFFFFF"/>
                <w:sz w:val="16"/>
              </w:rPr>
              <w:t>Responsibility</w:t>
            </w:r>
          </w:p>
        </w:tc>
      </w:tr>
      <w:tr>
        <w:tc>
          <w:tcPr>
            <w:tcW w:type="dxa" w:w="5112"/>
          </w:tcPr>
          <w:p>
            <w:pPr>
              <w:spacing w:after="20"/>
            </w:pPr>
            <w:r>
              <w:rPr>
                <w:sz w:val="15"/>
              </w:rPr>
              <w:t>HoldCo Board/investment governance</w:t>
            </w:r>
          </w:p>
        </w:tc>
        <w:tc>
          <w:tcPr>
            <w:tcW w:type="dxa" w:w="5112"/>
          </w:tcPr>
          <w:p>
            <w:pPr>
              <w:spacing w:after="20"/>
            </w:pPr>
            <w:r>
              <w:rPr>
                <w:sz w:val="15"/>
              </w:rPr>
              <w:t>Align portfolio with national/client priorities; approve investment stages and risk appetite; review benefits and stop/scale decisions.</w:t>
            </w:r>
          </w:p>
        </w:tc>
      </w:tr>
      <w:tr>
        <w:tc>
          <w:tcPr>
            <w:tcW w:type="dxa" w:w="5112"/>
          </w:tcPr>
          <w:p>
            <w:pPr>
              <w:spacing w:after="20"/>
            </w:pPr>
            <w:r>
              <w:rPr>
                <w:sz w:val="15"/>
              </w:rPr>
              <w:t>Client product owner/domain lead</w:t>
            </w:r>
          </w:p>
        </w:tc>
        <w:tc>
          <w:tcPr>
            <w:tcW w:type="dxa" w:w="5112"/>
          </w:tcPr>
          <w:p>
            <w:pPr>
              <w:spacing w:after="20"/>
            </w:pPr>
            <w:r>
              <w:rPr>
                <w:sz w:val="15"/>
              </w:rPr>
              <w:t>Own problem, constraints, data permissions, user acceptance and outcome.</w:t>
            </w:r>
          </w:p>
        </w:tc>
      </w:tr>
      <w:tr>
        <w:tc>
          <w:tcPr>
            <w:tcW w:type="dxa" w:w="5112"/>
          </w:tcPr>
          <w:p>
            <w:pPr>
              <w:spacing w:after="20"/>
            </w:pPr>
            <w:r>
              <w:rPr>
                <w:sz w:val="15"/>
              </w:rPr>
              <w:t>Programme manager</w:t>
            </w:r>
          </w:p>
        </w:tc>
        <w:tc>
          <w:tcPr>
            <w:tcW w:type="dxa" w:w="5112"/>
          </w:tcPr>
          <w:p>
            <w:pPr>
              <w:spacing w:after="20"/>
            </w:pPr>
            <w:r>
              <w:rPr>
                <w:sz w:val="15"/>
              </w:rPr>
              <w:t>Coordinate outcomes, dependencies, governance, work packages, reporting and gates.</w:t>
            </w:r>
          </w:p>
        </w:tc>
      </w:tr>
      <w:tr>
        <w:tc>
          <w:tcPr>
            <w:tcW w:type="dxa" w:w="5112"/>
          </w:tcPr>
          <w:p>
            <w:pPr>
              <w:spacing w:after="20"/>
            </w:pPr>
            <w:r>
              <w:rPr>
                <w:sz w:val="15"/>
              </w:rPr>
              <w:t>Project/delivery lead</w:t>
            </w:r>
          </w:p>
        </w:tc>
        <w:tc>
          <w:tcPr>
            <w:tcW w:type="dxa" w:w="5112"/>
          </w:tcPr>
          <w:p>
            <w:pPr>
              <w:spacing w:after="20"/>
            </w:pPr>
            <w:r>
              <w:rPr>
                <w:sz w:val="15"/>
              </w:rPr>
              <w:t>Control scope, schedule, cost, risks, changes, resources and evidence.</w:t>
            </w:r>
          </w:p>
        </w:tc>
      </w:tr>
      <w:tr>
        <w:tc>
          <w:tcPr>
            <w:tcW w:type="dxa" w:w="5112"/>
          </w:tcPr>
          <w:p>
            <w:pPr>
              <w:spacing w:after="20"/>
            </w:pPr>
            <w:r>
              <w:rPr>
                <w:sz w:val="15"/>
              </w:rPr>
              <w:t>Solution/enterprise architect</w:t>
            </w:r>
          </w:p>
        </w:tc>
        <w:tc>
          <w:tcPr>
            <w:tcW w:type="dxa" w:w="5112"/>
          </w:tcPr>
          <w:p>
            <w:pPr>
              <w:spacing w:after="20"/>
            </w:pPr>
            <w:r>
              <w:rPr>
                <w:sz w:val="15"/>
              </w:rPr>
              <w:t>Maintain canonical architecture and four-plane traceability.</w:t>
            </w:r>
          </w:p>
        </w:tc>
      </w:tr>
      <w:tr>
        <w:tc>
          <w:tcPr>
            <w:tcW w:type="dxa" w:w="5112"/>
          </w:tcPr>
          <w:p>
            <w:pPr>
              <w:spacing w:after="20"/>
            </w:pPr>
            <w:r>
              <w:rPr>
                <w:sz w:val="15"/>
              </w:rPr>
              <w:t>QAI platform/Deployment Operator engineer</w:t>
            </w:r>
          </w:p>
        </w:tc>
        <w:tc>
          <w:tcPr>
            <w:tcW w:type="dxa" w:w="5112"/>
          </w:tcPr>
          <w:p>
            <w:pPr>
              <w:spacing w:after="20"/>
            </w:pPr>
            <w:r>
              <w:rPr>
                <w:sz w:val="15"/>
              </w:rPr>
              <w:t>Implement lifecycle, profiles, validation, rollback and evidence; stabilisation is current priority.</w:t>
            </w:r>
          </w:p>
        </w:tc>
      </w:tr>
      <w:tr>
        <w:tc>
          <w:tcPr>
            <w:tcW w:type="dxa" w:w="5112"/>
          </w:tcPr>
          <w:p>
            <w:pPr>
              <w:spacing w:after="20"/>
            </w:pPr>
            <w:r>
              <w:rPr>
                <w:sz w:val="15"/>
              </w:rPr>
              <w:t>Infrastructure/energy/water specialists</w:t>
            </w:r>
          </w:p>
        </w:tc>
        <w:tc>
          <w:tcPr>
            <w:tcW w:type="dxa" w:w="5112"/>
          </w:tcPr>
          <w:p>
            <w:pPr>
              <w:spacing w:after="20"/>
            </w:pPr>
            <w:r>
              <w:rPr>
                <w:sz w:val="15"/>
              </w:rPr>
              <w:t>Validate facility/resource/energy/cooling/water assumptions within competence.</w:t>
            </w:r>
          </w:p>
        </w:tc>
      </w:tr>
      <w:tr>
        <w:tc>
          <w:tcPr>
            <w:tcW w:type="dxa" w:w="5112"/>
          </w:tcPr>
          <w:p>
            <w:pPr>
              <w:spacing w:after="20"/>
            </w:pPr>
            <w:r>
              <w:rPr>
                <w:sz w:val="15"/>
              </w:rPr>
              <w:t>Security/privacy/assurance lead</w:t>
            </w:r>
          </w:p>
        </w:tc>
        <w:tc>
          <w:tcPr>
            <w:tcW w:type="dxa" w:w="5112"/>
          </w:tcPr>
          <w:p>
            <w:pPr>
              <w:spacing w:after="20"/>
            </w:pPr>
            <w:r>
              <w:rPr>
                <w:sz w:val="15"/>
              </w:rPr>
              <w:t>Assess data, security, privacy, applicability, controls, exceptions and claims.</w:t>
            </w:r>
          </w:p>
        </w:tc>
      </w:tr>
      <w:tr>
        <w:tc>
          <w:tcPr>
            <w:tcW w:type="dxa" w:w="5112"/>
          </w:tcPr>
          <w:p>
            <w:pPr>
              <w:spacing w:after="20"/>
            </w:pPr>
            <w:r>
              <w:rPr>
                <w:sz w:val="15"/>
              </w:rPr>
              <w:t>Commercial/finance lead</w:t>
            </w:r>
          </w:p>
        </w:tc>
        <w:tc>
          <w:tcPr>
            <w:tcW w:type="dxa" w:w="5112"/>
          </w:tcPr>
          <w:p>
            <w:pPr>
              <w:spacing w:after="20"/>
            </w:pPr>
            <w:r>
              <w:rPr>
                <w:sz w:val="15"/>
              </w:rPr>
              <w:t>Maintain pricing, cost model, quotes, scenarios and benefits tracking.</w:t>
            </w:r>
          </w:p>
        </w:tc>
      </w:tr>
      <w:tr>
        <w:tc>
          <w:tcPr>
            <w:tcW w:type="dxa" w:w="5112"/>
          </w:tcPr>
          <w:p>
            <w:pPr>
              <w:spacing w:after="20"/>
            </w:pPr>
            <w:r>
              <w:rPr>
                <w:sz w:val="15"/>
              </w:rPr>
              <w:t>Partner/supplier</w:t>
            </w:r>
          </w:p>
        </w:tc>
        <w:tc>
          <w:tcPr>
            <w:tcW w:type="dxa" w:w="5112"/>
          </w:tcPr>
          <w:p>
            <w:pPr>
              <w:spacing w:after="20"/>
            </w:pPr>
            <w:r>
              <w:rPr>
                <w:sz w:val="15"/>
              </w:rPr>
              <w:t>Provide defined components/services, interfaces, availability, terms, support and evidence.</w:t>
            </w:r>
          </w:p>
        </w:tc>
      </w:tr>
      <w:tr>
        <w:tc>
          <w:tcPr>
            <w:tcW w:type="dxa" w:w="5112"/>
          </w:tcPr>
          <w:p>
            <w:pPr>
              <w:spacing w:after="20"/>
            </w:pPr>
            <w:r>
              <w:rPr>
                <w:sz w:val="15"/>
              </w:rPr>
              <w:t>Independent assessor/qualified adviser</w:t>
            </w:r>
          </w:p>
        </w:tc>
        <w:tc>
          <w:tcPr>
            <w:tcW w:type="dxa" w:w="5112"/>
          </w:tcPr>
          <w:p>
            <w:pPr>
              <w:spacing w:after="20"/>
            </w:pPr>
            <w:r>
              <w:rPr>
                <w:sz w:val="15"/>
              </w:rPr>
              <w:t>Specialist advice or independent assurance where required; not automatically included.</w:t>
            </w:r>
          </w:p>
        </w:tc>
      </w:tr>
    </w:tbl>
    <w:p/>
    <w:p>
      <w:r>
        <w:t>Select methods for fit: MSP for programme governance/benefits; PRINCE2 for project control; SAFe/Scrum for iterative delivery where appropriate; systems/software engineering for technical lifecycle. Using a method does not imply certification.</w:t>
      </w:r>
    </w:p>
    <w:p>
      <w:pPr>
        <w:pStyle w:val="Heading1"/>
      </w:pPr>
      <w:r>
        <w:t>11. First 90-day implementation plan</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Period</w:t>
            </w:r>
          </w:p>
        </w:tc>
        <w:tc>
          <w:tcPr>
            <w:tcW w:type="dxa" w:w="3408"/>
            <w:shd w:fill="17365D"/>
          </w:tcPr>
          <w:p>
            <w:r>
              <w:rPr>
                <w:b/>
                <w:color w:val="FFFFFF"/>
                <w:sz w:val="16"/>
              </w:rPr>
              <w:t>Work</w:t>
            </w:r>
          </w:p>
        </w:tc>
        <w:tc>
          <w:tcPr>
            <w:tcW w:type="dxa" w:w="3408"/>
            <w:shd w:fill="17365D"/>
          </w:tcPr>
          <w:p>
            <w:r>
              <w:rPr>
                <w:b/>
                <w:color w:val="FFFFFF"/>
                <w:sz w:val="16"/>
              </w:rPr>
              <w:t>Exit condition</w:t>
            </w:r>
          </w:p>
        </w:tc>
      </w:tr>
      <w:tr>
        <w:tc>
          <w:tcPr>
            <w:tcW w:type="dxa" w:w="3408"/>
          </w:tcPr>
          <w:p>
            <w:pPr>
              <w:spacing w:after="20"/>
            </w:pPr>
            <w:r>
              <w:rPr>
                <w:sz w:val="15"/>
              </w:rPr>
              <w:t>Days 1–15</w:t>
            </w:r>
          </w:p>
        </w:tc>
        <w:tc>
          <w:tcPr>
            <w:tcW w:type="dxa" w:w="3408"/>
          </w:tcPr>
          <w:p>
            <w:pPr>
              <w:spacing w:after="20"/>
            </w:pPr>
            <w:r>
              <w:rPr>
                <w:sz w:val="15"/>
              </w:rPr>
              <w:t>Inspect tree; inventory Australia, frameworks, standards, procurement, commercialization, domains and Deployment Operator assets.</w:t>
            </w:r>
          </w:p>
        </w:tc>
        <w:tc>
          <w:tcPr>
            <w:tcW w:type="dxa" w:w="3408"/>
          </w:tcPr>
          <w:p>
            <w:pPr>
              <w:spacing w:after="20"/>
            </w:pPr>
            <w:r>
              <w:rPr>
                <w:sz w:val="15"/>
              </w:rPr>
              <w:t>Repository inventory/change list; no duplicate trees.</w:t>
            </w:r>
          </w:p>
        </w:tc>
      </w:tr>
      <w:tr>
        <w:tc>
          <w:tcPr>
            <w:tcW w:type="dxa" w:w="3408"/>
          </w:tcPr>
          <w:p>
            <w:pPr>
              <w:spacing w:after="20"/>
            </w:pPr>
            <w:r>
              <w:rPr>
                <w:sz w:val="15"/>
              </w:rPr>
              <w:t>Days 16–30</w:t>
            </w:r>
          </w:p>
        </w:tc>
        <w:tc>
          <w:tcPr>
            <w:tcW w:type="dxa" w:w="3408"/>
          </w:tcPr>
          <w:p>
            <w:pPr>
              <w:spacing w:after="20"/>
            </w:pPr>
            <w:r>
              <w:rPr>
                <w:sz w:val="15"/>
              </w:rPr>
              <w:t>Create/extend policy register for AI Plan, Quantum Strategy, data-centre expectations and consultation watch; label status/applicability.</w:t>
            </w:r>
          </w:p>
        </w:tc>
        <w:tc>
          <w:tcPr>
            <w:tcW w:type="dxa" w:w="3408"/>
          </w:tcPr>
          <w:p>
            <w:pPr>
              <w:spacing w:after="20"/>
            </w:pPr>
            <w:r>
              <w:rPr>
                <w:sz w:val="15"/>
              </w:rPr>
              <w:t>Reviewed register and mapping v0.1.</w:t>
            </w:r>
          </w:p>
        </w:tc>
      </w:tr>
      <w:tr>
        <w:tc>
          <w:tcPr>
            <w:tcW w:type="dxa" w:w="3408"/>
          </w:tcPr>
          <w:p>
            <w:pPr>
              <w:spacing w:after="20"/>
            </w:pPr>
            <w:r>
              <w:rPr>
                <w:sz w:val="15"/>
              </w:rPr>
              <w:t>Days 31–45</w:t>
            </w:r>
          </w:p>
        </w:tc>
        <w:tc>
          <w:tcPr>
            <w:tcW w:type="dxa" w:w="3408"/>
          </w:tcPr>
          <w:p>
            <w:pPr>
              <w:spacing w:after="20"/>
            </w:pPr>
            <w:r>
              <w:rPr>
                <w:sz w:val="15"/>
              </w:rPr>
              <w:t>Add requirements/evidence templates, owners, gates and exception workflow; map priorities to capabilities/gaps.</w:t>
            </w:r>
          </w:p>
        </w:tc>
        <w:tc>
          <w:tcPr>
            <w:tcW w:type="dxa" w:w="3408"/>
          </w:tcPr>
          <w:p>
            <w:pPr>
              <w:spacing w:after="20"/>
            </w:pPr>
            <w:r>
              <w:rPr>
                <w:sz w:val="15"/>
              </w:rPr>
              <w:t>Traceability register with priority requirements and evidence owners.</w:t>
            </w:r>
          </w:p>
        </w:tc>
      </w:tr>
      <w:tr>
        <w:tc>
          <w:tcPr>
            <w:tcW w:type="dxa" w:w="3408"/>
          </w:tcPr>
          <w:p>
            <w:pPr>
              <w:spacing w:after="20"/>
            </w:pPr>
            <w:r>
              <w:rPr>
                <w:sz w:val="15"/>
              </w:rPr>
              <w:t>Days 46–60</w:t>
            </w:r>
          </w:p>
        </w:tc>
        <w:tc>
          <w:tcPr>
            <w:tcW w:type="dxa" w:w="3408"/>
          </w:tcPr>
          <w:p>
            <w:pPr>
              <w:spacing w:after="20"/>
            </w:pPr>
            <w:r>
              <w:rPr>
                <w:sz w:val="15"/>
              </w:rPr>
              <w:t>Define energy/water measurement, resource profiles, assumptions, data fields and provider/facility dependencies.</w:t>
            </w:r>
          </w:p>
        </w:tc>
        <w:tc>
          <w:tcPr>
            <w:tcW w:type="dxa" w:w="3408"/>
          </w:tcPr>
          <w:p>
            <w:pPr>
              <w:spacing w:after="20"/>
            </w:pPr>
            <w:r>
              <w:rPr>
                <w:sz w:val="15"/>
              </w:rPr>
              <w:t>Measurement model and backend matrix; measured vs estimated separated.</w:t>
            </w:r>
          </w:p>
        </w:tc>
      </w:tr>
      <w:tr>
        <w:tc>
          <w:tcPr>
            <w:tcW w:type="dxa" w:w="3408"/>
          </w:tcPr>
          <w:p>
            <w:pPr>
              <w:spacing w:after="20"/>
            </w:pPr>
            <w:r>
              <w:rPr>
                <w:sz w:val="15"/>
              </w:rPr>
              <w:t>Days 61–75</w:t>
            </w:r>
          </w:p>
        </w:tc>
        <w:tc>
          <w:tcPr>
            <w:tcW w:type="dxa" w:w="3408"/>
          </w:tcPr>
          <w:p>
            <w:pPr>
              <w:spacing w:after="20"/>
            </w:pPr>
            <w:r>
              <w:rPr>
                <w:sz w:val="15"/>
              </w:rPr>
              <w:t>Select bounded Digital Farm water/irrigation use case; define user, data, baseline, metrics, risks and costs.</w:t>
            </w:r>
          </w:p>
        </w:tc>
        <w:tc>
          <w:tcPr>
            <w:tcW w:type="dxa" w:w="3408"/>
          </w:tcPr>
          <w:p>
            <w:pPr>
              <w:spacing w:after="20"/>
            </w:pPr>
            <w:r>
              <w:rPr>
                <w:sz w:val="15"/>
              </w:rPr>
              <w:t>Pilot charter, experiment plan, risk review and acceptance criteria.</w:t>
            </w:r>
          </w:p>
        </w:tc>
      </w:tr>
      <w:tr>
        <w:tc>
          <w:tcPr>
            <w:tcW w:type="dxa" w:w="3408"/>
          </w:tcPr>
          <w:p>
            <w:pPr>
              <w:spacing w:after="20"/>
            </w:pPr>
            <w:r>
              <w:rPr>
                <w:sz w:val="15"/>
              </w:rPr>
              <w:t>Days 76–90</w:t>
            </w:r>
          </w:p>
        </w:tc>
        <w:tc>
          <w:tcPr>
            <w:tcW w:type="dxa" w:w="3408"/>
          </w:tcPr>
          <w:p>
            <w:pPr>
              <w:spacing w:after="20"/>
            </w:pPr>
            <w:r>
              <w:rPr>
                <w:sz w:val="15"/>
              </w:rPr>
              <w:t>Run/refine virtual experiment if platform is ready; review results, gaps, partner needs and commercial route.</w:t>
            </w:r>
          </w:p>
        </w:tc>
        <w:tc>
          <w:tcPr>
            <w:tcW w:type="dxa" w:w="3408"/>
          </w:tcPr>
          <w:p>
            <w:pPr>
              <w:spacing w:after="20"/>
            </w:pPr>
            <w:r>
              <w:rPr>
                <w:sz w:val="15"/>
              </w:rPr>
              <w:t>Gate decision and next-quarter work package/budget assumptions.</w:t>
            </w:r>
          </w:p>
        </w:tc>
      </w:tr>
    </w:tbl>
    <w:p/>
    <w:p>
      <w:r>
        <w:t>These are planning windows, not commitments; delivery depends on staff, access, platform readiness and external dependencies.</w:t>
      </w:r>
    </w:p>
    <w:p>
      <w:pPr>
        <w:pStyle w:val="Heading1"/>
      </w:pPr>
      <w:r>
        <w:t>12. Immediate VS Code actions</w:t>
      </w:r>
    </w:p>
    <w:p>
      <w:pPr>
        <w:pStyle w:val="ListNumber"/>
      </w:pPr>
      <w:r>
        <w:t>Search current 00_holdco_factory tree for equivalent Australia policy, standards, procurement, commercialization, domain-pack and Deployment Operator files.</w:t>
      </w:r>
    </w:p>
    <w:p>
      <w:pPr>
        <w:pStyle w:val="ListNumber"/>
      </w:pPr>
      <w:r>
        <w:t>Create/update one index README linking canonical documents and identifying gaps; do not copy whole frameworks.</w:t>
      </w:r>
    </w:p>
    <w:p>
      <w:pPr>
        <w:pStyle w:val="ListNumber"/>
      </w:pPr>
      <w:r>
        <w:t>Label source status: law/regulation; government strategy/policy; consultation/proposal; standard/framework; internal design choice; client contract.</w:t>
      </w:r>
    </w:p>
    <w:p>
      <w:pPr>
        <w:pStyle w:val="ListNumber"/>
      </w:pPr>
      <w:r>
        <w:t>Map AI Plan, Quantum Strategy and data-centre expectations to QAI-DCaaS and canonical four-plane architecture.</w:t>
      </w:r>
    </w:p>
    <w:p>
      <w:pPr>
        <w:pStyle w:val="ListNumber"/>
      </w:pPr>
      <w:r>
        <w:t>Define a small set of testable requirements/evidence owners, prioritising energy/water, data/security, client outcomes and classical-baseline evidence.</w:t>
      </w:r>
    </w:p>
    <w:p>
      <w:pPr>
        <w:pStyle w:val="ListNumber"/>
      </w:pPr>
      <w:r>
        <w:t>Continue Phase 2 Deployment Operator stabilisation; add policy requirements through configuration, schemas, validation and evidence rather than speculative automation.</w:t>
      </w:r>
    </w:p>
    <w:p>
      <w:pPr>
        <w:pStyle w:val="ListNumber"/>
      </w:pPr>
      <w:r>
        <w:t>Use Digital Farm water/irrigation as initial domain pack; reuse template only when real client need exists.</w:t>
      </w:r>
    </w:p>
    <w:p>
      <w:pPr>
        <w:pStyle w:val="ListNumber"/>
      </w:pPr>
      <w:r>
        <w:t>Review policy changes and public claims before proposals; seek specialist advice for site, legal, certification, procurement and funding matters.</w:t>
      </w:r>
    </w:p>
    <w:p>
      <w:pPr>
        <w:pStyle w:val="Heading1"/>
      </w:pPr>
      <w:r>
        <w:t>13. Governance rules and exclusions</w:t>
      </w:r>
    </w:p>
    <w:p>
      <w:pPr>
        <w:pStyle w:val="ListBullet"/>
      </w:pPr>
      <w:r>
        <w:t>Policy mapping is internal planning, not legal advice or certification.</w:t>
      </w:r>
    </w:p>
    <w:p>
      <w:pPr>
        <w:pStyle w:val="ListBullet"/>
      </w:pPr>
      <w:r>
        <w:t>The Sep 2026 AI-infrastructure paper is consultation; verify later decisions and legislation before treating proposals as mandatory.</w:t>
      </w:r>
    </w:p>
    <w:p>
      <w:pPr>
        <w:pStyle w:val="ListBullet"/>
      </w:pPr>
      <w:r>
        <w:t>The Mar 2026 expectations mainly address new/expanded large facilities; assess applicability per project.</w:t>
      </w:r>
    </w:p>
    <w:p>
      <w:pPr>
        <w:pStyle w:val="ListBullet"/>
      </w:pPr>
      <w:r>
        <w:t>No automatic claim of quantum advantage, energy/water savings, ROI, uptime, government approval or funding eligibility.</w:t>
      </w:r>
    </w:p>
    <w:p>
      <w:pPr>
        <w:pStyle w:val="ListBullet"/>
      </w:pPr>
      <w:r>
        <w:t>Do not assume all data must be onshore; determine obligations from law, contract, classification and service design.</w:t>
      </w:r>
    </w:p>
    <w:p>
      <w:pPr>
        <w:pStyle w:val="ListBullet"/>
      </w:pPr>
      <w:r>
        <w:t>Simulator, external QCaaS account or software abstraction is not equivalent to owning/operating a physical QPU or QSC.</w:t>
      </w:r>
    </w:p>
    <w:p>
      <w:pPr>
        <w:pStyle w:val="ListBullet"/>
      </w:pPr>
      <w:r>
        <w:t>Keep third-party infrastructure, quantum access, specialist engineering, certification, site approvals and utilities visible as dependencies and separately scoped costs.</w:t>
      </w:r>
    </w:p>
    <w:p>
      <w:pPr>
        <w:pStyle w:val="ListBullet"/>
      </w:pPr>
      <w:r>
        <w:t>Separate client configuration/confidential data from reusable Bhadale IT IP; record ownership, licence and reuse rights.</w:t>
      </w:r>
    </w:p>
    <w:p>
      <w:pPr>
        <w:pStyle w:val="ListBullet"/>
      </w:pPr>
      <w:r>
        <w:t>Do not create a parallel policy/architecture hierarchy when an equivalent exists; extend and link existing assets.</w:t>
      </w:r>
    </w:p>
    <w:p>
      <w:pPr>
        <w:pStyle w:val="Heading1"/>
      </w:pPr>
      <w:r>
        <w:t>14. Definition of done</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Area</w:t>
            </w:r>
          </w:p>
        </w:tc>
        <w:tc>
          <w:tcPr>
            <w:tcW w:type="dxa" w:w="5112"/>
            <w:shd w:fill="17365D"/>
          </w:tcPr>
          <w:p>
            <w:r>
              <w:rPr>
                <w:b/>
                <w:color w:val="FFFFFF"/>
                <w:sz w:val="16"/>
              </w:rPr>
              <w:t>Definition of done</w:t>
            </w:r>
          </w:p>
        </w:tc>
      </w:tr>
      <w:tr>
        <w:tc>
          <w:tcPr>
            <w:tcW w:type="dxa" w:w="5112"/>
          </w:tcPr>
          <w:p>
            <w:pPr>
              <w:spacing w:after="20"/>
            </w:pPr>
            <w:r>
              <w:rPr>
                <w:sz w:val="15"/>
              </w:rPr>
              <w:t>Policy</w:t>
            </w:r>
          </w:p>
        </w:tc>
        <w:tc>
          <w:tcPr>
            <w:tcW w:type="dxa" w:w="5112"/>
          </w:tcPr>
          <w:p>
            <w:pPr>
              <w:spacing w:after="20"/>
            </w:pPr>
            <w:r>
              <w:rPr>
                <w:sz w:val="15"/>
              </w:rPr>
              <w:t>Current source, explicit status, applicability/rationale, owner and review date.</w:t>
            </w:r>
          </w:p>
        </w:tc>
      </w:tr>
      <w:tr>
        <w:tc>
          <w:tcPr>
            <w:tcW w:type="dxa" w:w="5112"/>
          </w:tcPr>
          <w:p>
            <w:pPr>
              <w:spacing w:after="20"/>
            </w:pPr>
            <w:r>
              <w:rPr>
                <w:sz w:val="15"/>
              </w:rPr>
              <w:t>Requirement</w:t>
            </w:r>
          </w:p>
        </w:tc>
        <w:tc>
          <w:tcPr>
            <w:tcW w:type="dxa" w:w="5112"/>
          </w:tcPr>
          <w:p>
            <w:pPr>
              <w:spacing w:after="20"/>
            </w:pPr>
            <w:r>
              <w:rPr>
                <w:sz w:val="15"/>
              </w:rPr>
              <w:t>Testable requirement/governance action, owner, priority and acceptance evidence.</w:t>
            </w:r>
          </w:p>
        </w:tc>
      </w:tr>
      <w:tr>
        <w:tc>
          <w:tcPr>
            <w:tcW w:type="dxa" w:w="5112"/>
          </w:tcPr>
          <w:p>
            <w:pPr>
              <w:spacing w:after="20"/>
            </w:pPr>
            <w:r>
              <w:rPr>
                <w:sz w:val="15"/>
              </w:rPr>
              <w:t>Architecture</w:t>
            </w:r>
          </w:p>
        </w:tc>
        <w:tc>
          <w:tcPr>
            <w:tcW w:type="dxa" w:w="5112"/>
          </w:tcPr>
          <w:p>
            <w:pPr>
              <w:spacing w:after="20"/>
            </w:pPr>
            <w:r>
              <w:rPr>
                <w:sz w:val="15"/>
              </w:rPr>
              <w:t>Mapped to canonical architecture and deployment profile; fallbacks qualified.</w:t>
            </w:r>
          </w:p>
        </w:tc>
      </w:tr>
      <w:tr>
        <w:tc>
          <w:tcPr>
            <w:tcW w:type="dxa" w:w="5112"/>
          </w:tcPr>
          <w:p>
            <w:pPr>
              <w:spacing w:after="20"/>
            </w:pPr>
            <w:r>
              <w:rPr>
                <w:sz w:val="15"/>
              </w:rPr>
              <w:t>Delivery</w:t>
            </w:r>
          </w:p>
        </w:tc>
        <w:tc>
          <w:tcPr>
            <w:tcW w:type="dxa" w:w="5112"/>
          </w:tcPr>
          <w:p>
            <w:pPr>
              <w:spacing w:after="20"/>
            </w:pPr>
            <w:r>
              <w:rPr>
                <w:sz w:val="15"/>
              </w:rPr>
              <w:t>Work package has scope, dependencies, estimate, risks, change control and owner.</w:t>
            </w:r>
          </w:p>
        </w:tc>
      </w:tr>
      <w:tr>
        <w:tc>
          <w:tcPr>
            <w:tcW w:type="dxa" w:w="5112"/>
          </w:tcPr>
          <w:p>
            <w:pPr>
              <w:spacing w:after="20"/>
            </w:pPr>
            <w:r>
              <w:rPr>
                <w:sz w:val="15"/>
              </w:rPr>
              <w:t>Validation</w:t>
            </w:r>
          </w:p>
        </w:tc>
        <w:tc>
          <w:tcPr>
            <w:tcW w:type="dxa" w:w="5112"/>
          </w:tcPr>
          <w:p>
            <w:pPr>
              <w:spacing w:after="20"/>
            </w:pPr>
            <w:r>
              <w:rPr>
                <w:sz w:val="15"/>
              </w:rPr>
              <w:t>Tests/reviews completed; evidence stored; deviations and limitations recorded.</w:t>
            </w:r>
          </w:p>
        </w:tc>
      </w:tr>
      <w:tr>
        <w:tc>
          <w:tcPr>
            <w:tcW w:type="dxa" w:w="5112"/>
          </w:tcPr>
          <w:p>
            <w:pPr>
              <w:spacing w:after="20"/>
            </w:pPr>
            <w:r>
              <w:rPr>
                <w:sz w:val="15"/>
              </w:rPr>
              <w:t>Energy/water</w:t>
            </w:r>
          </w:p>
        </w:tc>
        <w:tc>
          <w:tcPr>
            <w:tcW w:type="dxa" w:w="5112"/>
          </w:tcPr>
          <w:p>
            <w:pPr>
              <w:spacing w:after="20"/>
            </w:pPr>
            <w:r>
              <w:rPr>
                <w:sz w:val="15"/>
              </w:rPr>
              <w:t>Boundary, units, source, period, assumptions and uncertainty documented; no unsupported savings claim.</w:t>
            </w:r>
          </w:p>
        </w:tc>
      </w:tr>
      <w:tr>
        <w:tc>
          <w:tcPr>
            <w:tcW w:type="dxa" w:w="5112"/>
          </w:tcPr>
          <w:p>
            <w:pPr>
              <w:spacing w:after="20"/>
            </w:pPr>
            <w:r>
              <w:rPr>
                <w:sz w:val="15"/>
              </w:rPr>
              <w:t>Client/domain</w:t>
            </w:r>
          </w:p>
        </w:tc>
        <w:tc>
          <w:tcPr>
            <w:tcW w:type="dxa" w:w="5112"/>
          </w:tcPr>
          <w:p>
            <w:pPr>
              <w:spacing w:after="20"/>
            </w:pPr>
            <w:r>
              <w:rPr>
                <w:sz w:val="15"/>
              </w:rPr>
              <w:t>Problem, baseline, users, constraints, acceptance and benefits owner agreed.</w:t>
            </w:r>
          </w:p>
        </w:tc>
      </w:tr>
      <w:tr>
        <w:tc>
          <w:tcPr>
            <w:tcW w:type="dxa" w:w="5112"/>
          </w:tcPr>
          <w:p>
            <w:pPr>
              <w:spacing w:after="20"/>
            </w:pPr>
            <w:r>
              <w:rPr>
                <w:sz w:val="15"/>
              </w:rPr>
              <w:t>Commercial</w:t>
            </w:r>
          </w:p>
        </w:tc>
        <w:tc>
          <w:tcPr>
            <w:tcW w:type="dxa" w:w="5112"/>
          </w:tcPr>
          <w:p>
            <w:pPr>
              <w:spacing w:after="20"/>
            </w:pPr>
            <w:r>
              <w:rPr>
                <w:sz w:val="15"/>
              </w:rPr>
              <w:t>Pricing/lifecycle costs based on assumptions and supplier inputs; projections not guarantees.</w:t>
            </w:r>
          </w:p>
        </w:tc>
      </w:tr>
      <w:tr>
        <w:tc>
          <w:tcPr>
            <w:tcW w:type="dxa" w:w="5112"/>
          </w:tcPr>
          <w:p>
            <w:pPr>
              <w:spacing w:after="20"/>
            </w:pPr>
            <w:r>
              <w:rPr>
                <w:sz w:val="15"/>
              </w:rPr>
              <w:t>Release/operation</w:t>
            </w:r>
          </w:p>
        </w:tc>
        <w:tc>
          <w:tcPr>
            <w:tcW w:type="dxa" w:w="5112"/>
          </w:tcPr>
          <w:p>
            <w:pPr>
              <w:spacing w:after="20"/>
            </w:pPr>
            <w:r>
              <w:rPr>
                <w:sz w:val="15"/>
              </w:rPr>
              <w:t>Support, security, incident/change handling, boundaries and review metrics defined.</w:t>
            </w:r>
          </w:p>
        </w:tc>
      </w:tr>
      <w:tr>
        <w:tc>
          <w:tcPr>
            <w:tcW w:type="dxa" w:w="5112"/>
          </w:tcPr>
          <w:p>
            <w:pPr>
              <w:spacing w:after="20"/>
            </w:pPr>
            <w:r>
              <w:rPr>
                <w:sz w:val="15"/>
              </w:rPr>
              <w:t>Learning</w:t>
            </w:r>
          </w:p>
        </w:tc>
        <w:tc>
          <w:tcPr>
            <w:tcW w:type="dxa" w:w="5112"/>
          </w:tcPr>
          <w:p>
            <w:pPr>
              <w:spacing w:after="20"/>
            </w:pPr>
            <w:r>
              <w:rPr>
                <w:sz w:val="15"/>
              </w:rPr>
              <w:t>Reusable lessons captured without exposing confidential client information.</w:t>
            </w:r>
          </w:p>
        </w:tc>
      </w:tr>
    </w:tbl>
    <w:p/>
    <w:p>
      <w:pPr>
        <w:pStyle w:val="Heading1"/>
      </w:pPr>
      <w:r>
        <w:t>15. Official references</w:t>
      </w:r>
    </w:p>
    <w:p>
      <w:pPr>
        <w:pStyle w:val="ListBullet"/>
      </w:pPr>
      <w:r>
        <w:rPr>
          <w:b/>
        </w:rPr>
        <w:t xml:space="preserve">National AI Plan: </w:t>
      </w:r>
      <w:r>
        <w:t>https://www.industry.gov.au/publications/national-ai-plan — AI opportunities, shared benefits and safety.</w:t>
      </w:r>
    </w:p>
    <w:p>
      <w:pPr>
        <w:pStyle w:val="ListBullet"/>
      </w:pPr>
      <w:r>
        <w:rPr>
          <w:b/>
        </w:rPr>
        <w:t xml:space="preserve">National Quantum Strategy: </w:t>
      </w:r>
      <w:r>
        <w:t>https://www.industry.gov.au/publications/national-quantum-strategy — Quantum industry strategy and five themes.</w:t>
      </w:r>
    </w:p>
    <w:p>
      <w:pPr>
        <w:pStyle w:val="ListBullet"/>
      </w:pPr>
      <w:r>
        <w:rPr>
          <w:b/>
        </w:rPr>
        <w:t xml:space="preserve">National Quantum Strategy — Executive summary: </w:t>
      </w:r>
      <w:r>
        <w:t>https://www.industry.gov.au/publications/national-quantum-strategy/executive-summary — Themes and actions.</w:t>
      </w:r>
    </w:p>
    <w:p>
      <w:pPr>
        <w:pStyle w:val="ListBullet"/>
      </w:pPr>
      <w:r>
        <w:rPr>
          <w:b/>
        </w:rPr>
        <w:t xml:space="preserve">Expectations of data centres and AI infrastructure developers: </w:t>
      </w:r>
      <w:r>
        <w:t>https://www.industry.gov.au/publications/expectations-data-centres-and-ai-infrastructure-developers — National interest, energy, water, workforce, innovation and local capability.</w:t>
      </w:r>
    </w:p>
    <w:p>
      <w:pPr>
        <w:pStyle w:val="ListBullet"/>
      </w:pPr>
      <w:r>
        <w:rPr>
          <w:b/>
        </w:rPr>
        <w:t xml:space="preserve">AI infrastructure consultation paper, September 2026: </w:t>
      </w:r>
      <w:r>
        <w:t>https://www.pmc.gov.au/resources/getting-it-right-building-ai-infrastructure-works-australia — Consultation on proposed standards; verify subsequent status.</w:t>
      </w:r>
    </w:p>
    <w:p>
      <w:pPr>
        <w:pStyle w:val="ListBullet"/>
      </w:pPr>
      <w:r>
        <w:rPr>
          <w:b/>
        </w:rPr>
        <w:t xml:space="preserve">Australian Government Architecture — Quantum computing: </w:t>
      </w:r>
      <w:r>
        <w:t>https://architecture.digital.gov.au/capability/quantum-computing — Government architecture capability and quantum standard reference.</w:t>
      </w:r>
    </w:p>
    <w:p>
      <w:r>
        <w:rPr>
          <w:b/>
          <w:color w:val="0070C0"/>
        </w:rPr>
        <w:t xml:space="preserve">Final recommendation: </w:t>
      </w:r>
      <w:r>
        <w:t>Build one traceable policy-to-delivery system inside the existing HoldCo tree. Start with source registers and mappings, convert priorities into testable requirements/evidence, keep Deployment Operator stabilisation central, and validate the model through a bounded agriculture pilot before scaling.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Bhadale IT | QAI-DCaaS Australian Policy Alignment &amp; VS Code Implementation Plan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