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r>
        <w:rPr>
          <w:b/>
          <w:color w:val="1F4E79"/>
          <w:sz w:val="48"/>
        </w:rPr>
        <w:t>QAI PROGRAMME, PROJECT</w:t>
        <w:br/>
        <w:t>AND DELIVERY MANAGEMENT FRAMEWORK</w:t>
      </w:r>
    </w:p>
    <w:p>
      <w:pPr>
        <w:jc w:val="center"/>
      </w:pPr>
      <w:r>
        <w:rPr>
          <w:i/>
        </w:rPr>
        <w:t>Managerial Methods for QAI-DCaaS and Enterprise Delivery</w:t>
      </w:r>
    </w:p>
    <w:p>
      <w:pPr>
        <w:jc w:val="center"/>
      </w:pPr>
      <w:r>
        <w:br/>
        <w:t>Bhadale IT</w:t>
        <w:br/>
        <w:t>Australia-facing service concept | 20 October 2026</w:t>
      </w:r>
    </w:p>
    <w:p>
      <w:r>
        <w:br w:type="page"/>
      </w:r>
    </w:p>
    <w:p>
      <w:pPr>
        <w:pStyle w:val="Heading1"/>
      </w:pPr>
      <w:r>
        <w:t>1. Purpose and Management Proposition</w:t>
      </w:r>
    </w:p>
    <w:p>
      <w:r>
        <w:t>This document defines a proposed managerial-methods framework for delivering QAI Data Centre as a Service (QAI-DCaaS) and related QAI programmes. It focuses on programme governance, project control, Agile delivery, investment decisions, stakeholder coordination, assurance and benefits realisation rather than technical architecture.</w:t>
      </w:r>
    </w:p>
    <w:p>
      <w:r>
        <w:t>Bhadale IT can tailor and integrate appropriate management methods to coordinate clients, investors, engineering teams, infrastructure providers, suppliers and research partners through one governed delivery lifecycle. Methods should be selected according to programme scale, delivery uncertainty, contractual needs, customer governance and assurance requirements—not applied indiscriminately.</w:t>
      </w:r>
    </w:p>
    <w:p>
      <w:pPr>
        <w:pStyle w:val="Heading1"/>
      </w:pPr>
      <w:r>
        <w:t>2. Management Methods and Their Roles</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color w:val="1F4E79"/>
              </w:rPr>
              <w:t>Method / framework</w:t>
            </w:r>
          </w:p>
        </w:tc>
        <w:tc>
          <w:tcPr>
            <w:tcW w:type="dxa" w:w="3312"/>
          </w:tcPr>
          <w:p>
            <w:r>
              <w:rPr>
                <w:b/>
                <w:color w:val="1F4E79"/>
              </w:rPr>
              <w:t>Primary management purpose</w:t>
            </w:r>
          </w:p>
        </w:tc>
        <w:tc>
          <w:tcPr>
            <w:tcW w:type="dxa" w:w="3312"/>
          </w:tcPr>
          <w:p>
            <w:r>
              <w:rPr>
                <w:b/>
                <w:color w:val="1F4E79"/>
              </w:rPr>
              <w:t>Typical use in QAI-DCaaS</w:t>
            </w:r>
          </w:p>
        </w:tc>
      </w:tr>
      <w:tr>
        <w:tc>
          <w:tcPr>
            <w:tcW w:type="dxa" w:w="3312"/>
          </w:tcPr>
          <w:p>
            <w:r>
              <w:t>MSP — Managing Successful Programmes</w:t>
            </w:r>
          </w:p>
        </w:tc>
        <w:tc>
          <w:tcPr>
            <w:tcW w:type="dxa" w:w="3312"/>
          </w:tcPr>
          <w:p>
            <w:r>
              <w:t>Programme governance, coordination and benefits realisation.</w:t>
            </w:r>
          </w:p>
        </w:tc>
        <w:tc>
          <w:tcPr>
            <w:tcW w:type="dxa" w:w="3312"/>
          </w:tcPr>
          <w:p>
            <w:r>
              <w:t>Coordinate related projects, investments, workstreams, dependencies and organisational change.</w:t>
            </w:r>
          </w:p>
        </w:tc>
      </w:tr>
      <w:tr>
        <w:tc>
          <w:tcPr>
            <w:tcW w:type="dxa" w:w="3312"/>
          </w:tcPr>
          <w:p>
            <w:r>
              <w:t>PRINCE2</w:t>
            </w:r>
          </w:p>
        </w:tc>
        <w:tc>
          <w:tcPr>
            <w:tcW w:type="dxa" w:w="3312"/>
          </w:tcPr>
          <w:p>
            <w:r>
              <w:t>Project governance and controlled delivery.</w:t>
            </w:r>
          </w:p>
        </w:tc>
        <w:tc>
          <w:tcPr>
            <w:tcW w:type="dxa" w:w="3312"/>
          </w:tcPr>
          <w:p>
            <w:r>
              <w:t>Manage scope, business justification, roles, stage boundaries, tolerances, risks, changes and acceptance.</w:t>
            </w:r>
          </w:p>
        </w:tc>
      </w:tr>
      <w:tr>
        <w:tc>
          <w:tcPr>
            <w:tcW w:type="dxa" w:w="3312"/>
          </w:tcPr>
          <w:p>
            <w:r>
              <w:t>SAFe</w:t>
            </w:r>
          </w:p>
        </w:tc>
        <w:tc>
          <w:tcPr>
            <w:tcW w:type="dxa" w:w="3312"/>
          </w:tcPr>
          <w:p>
            <w:r>
              <w:t>Coordination of scaled Agile delivery.</w:t>
            </w:r>
          </w:p>
        </w:tc>
        <w:tc>
          <w:tcPr>
            <w:tcW w:type="dxa" w:w="3312"/>
          </w:tcPr>
          <w:p>
            <w:r>
              <w:t>Align multiple teams and engineering workstreams where cross-team planning and integration justify the overhead.</w:t>
            </w:r>
          </w:p>
        </w:tc>
      </w:tr>
      <w:tr>
        <w:tc>
          <w:tcPr>
            <w:tcW w:type="dxa" w:w="3312"/>
          </w:tcPr>
          <w:p>
            <w:r>
              <w:t>Scrum</w:t>
            </w:r>
          </w:p>
        </w:tc>
        <w:tc>
          <w:tcPr>
            <w:tcW w:type="dxa" w:w="3312"/>
          </w:tcPr>
          <w:p>
            <w:r>
              <w:t>Iterative team-level delivery.</w:t>
            </w:r>
          </w:p>
        </w:tc>
        <w:tc>
          <w:tcPr>
            <w:tcW w:type="dxa" w:w="3312"/>
          </w:tcPr>
          <w:p>
            <w:r>
              <w:t>Deliver features, integrations, demonstrations and experiments through time-boxed sprints.</w:t>
            </w:r>
          </w:p>
        </w:tc>
      </w:tr>
      <w:tr>
        <w:tc>
          <w:tcPr>
            <w:tcW w:type="dxa" w:w="3312"/>
          </w:tcPr>
          <w:p>
            <w:r>
              <w:t>Portfolio and investment management</w:t>
            </w:r>
          </w:p>
        </w:tc>
        <w:tc>
          <w:tcPr>
            <w:tcW w:type="dxa" w:w="3312"/>
          </w:tcPr>
          <w:p>
            <w:r>
              <w:t>Prioritisation and allocation of funding and capacity.</w:t>
            </w:r>
          </w:p>
        </w:tc>
        <w:tc>
          <w:tcPr>
            <w:tcW w:type="dxa" w:w="3312"/>
          </w:tcPr>
          <w:p>
            <w:r>
              <w:t>Compare initiatives, stage investment and review continued business justification.</w:t>
            </w:r>
          </w:p>
        </w:tc>
      </w:tr>
      <w:tr>
        <w:tc>
          <w:tcPr>
            <w:tcW w:type="dxa" w:w="3312"/>
          </w:tcPr>
          <w:p>
            <w:r>
              <w:t>Benefits management</w:t>
            </w:r>
          </w:p>
        </w:tc>
        <w:tc>
          <w:tcPr>
            <w:tcW w:type="dxa" w:w="3312"/>
          </w:tcPr>
          <w:p>
            <w:r>
              <w:t>Define and track intended business outcomes.</w:t>
            </w:r>
          </w:p>
        </w:tc>
        <w:tc>
          <w:tcPr>
            <w:tcW w:type="dxa" w:w="3312"/>
          </w:tcPr>
          <w:p>
            <w:r>
              <w:t>Connect deliverables to measurable operational, economic, environmental or research outcomes.</w:t>
            </w:r>
          </w:p>
        </w:tc>
      </w:tr>
      <w:tr>
        <w:tc>
          <w:tcPr>
            <w:tcW w:type="dxa" w:w="3312"/>
          </w:tcPr>
          <w:p>
            <w:r>
              <w:t>Risk and assurance management</w:t>
            </w:r>
          </w:p>
        </w:tc>
        <w:tc>
          <w:tcPr>
            <w:tcW w:type="dxa" w:w="3312"/>
          </w:tcPr>
          <w:p>
            <w:r>
              <w:t>Identify, own, assess and respond to delivery and investment risks.</w:t>
            </w:r>
          </w:p>
        </w:tc>
        <w:tc>
          <w:tcPr>
            <w:tcW w:type="dxa" w:w="3312"/>
          </w:tcPr>
          <w:p>
            <w:r>
              <w:t>Maintain risk registers, escalation routes, assurance reviews and decision evidence.</w:t>
            </w:r>
          </w:p>
        </w:tc>
      </w:tr>
      <w:tr>
        <w:tc>
          <w:tcPr>
            <w:tcW w:type="dxa" w:w="3312"/>
          </w:tcPr>
          <w:p>
            <w:r>
              <w:t>Change and stakeholder management</w:t>
            </w:r>
          </w:p>
        </w:tc>
        <w:tc>
          <w:tcPr>
            <w:tcW w:type="dxa" w:w="3312"/>
          </w:tcPr>
          <w:p>
            <w:r>
              <w:t>Manage organisational adoption and controlled change.</w:t>
            </w:r>
          </w:p>
        </w:tc>
        <w:tc>
          <w:tcPr>
            <w:tcW w:type="dxa" w:w="3312"/>
          </w:tcPr>
          <w:p>
            <w:r>
              <w:t>Coordinate user adoption, operating-model changes, supplier transitions and stakeholder communications.</w:t>
            </w:r>
          </w:p>
        </w:tc>
      </w:tr>
    </w:tbl>
    <w:p>
      <w:pPr>
        <w:pStyle w:val="Heading1"/>
      </w:pPr>
      <w:r>
        <w:t>3. How the Methods Fit Together</w:t>
      </w:r>
    </w:p>
    <w:p>
      <w:r>
        <w:t>The methods are complementary. MSP governs the programme and its intended benefits; PRINCE2 or a tailored project method controls individual projects; SAFe and Scrum organise incremental delivery; portfolio management prioritises investment; and benefits, risk, stakeholder and change management keep the work connected to intended outcomes.</w:t>
      </w:r>
    </w:p>
    <w:p>
      <w:pPr>
        <w:jc w:val="center"/>
      </w:pPr>
      <w:r>
        <w:rPr>
          <w:b/>
          <w:color w:val="1F4E79"/>
        </w:rPr>
        <w:t>PORTFOLIO &amp; INVESTMENT → PROGRAMME → PROJECT → AGILE DELIVERY TEAMS</w:t>
      </w:r>
    </w:p>
    <w:p>
      <w:pPr>
        <w:jc w:val="center"/>
      </w:pPr>
      <w:r>
        <w:t>Cross-cutting controls: business justification • benefits • risk • change • stakeholder engagement • assurance</w:t>
      </w:r>
    </w:p>
    <w:p>
      <w:r>
        <w:t>These are management responsibilities, not necessarily separate departments. Small engagements may combine roles; large programmes may require distinct programme, project, delivery and assurance roles.</w:t>
      </w:r>
    </w:p>
    <w:p>
      <w:pPr>
        <w:pStyle w:val="Heading1"/>
      </w:pPr>
      <w:r>
        <w:t>4. MSP: Managing the Overall Transformation</w:t>
      </w:r>
    </w:p>
    <w:p>
      <w:r>
        <w:t>MSP is most useful when several related projects must collectively deliver a transformation. A QAI data-centre initiative may include platform development, deployment tooling, enterprise integration, infrastructure procurement, security and governance, pilot projects, workforce development and commercialisation.</w:t>
      </w:r>
    </w:p>
    <w:p>
      <w:pPr>
        <w:pStyle w:val="ListBullet"/>
      </w:pPr>
      <w:r>
        <w:t>Define the programme vision, target outcomes and operating model.</w:t>
      </w:r>
    </w:p>
    <w:p>
      <w:pPr>
        <w:pStyle w:val="ListBullet"/>
      </w:pPr>
      <w:r>
        <w:t>Build a benefits map and establish measures, owners and review dates.</w:t>
      </w:r>
    </w:p>
    <w:p>
      <w:pPr>
        <w:pStyle w:val="ListBullet"/>
      </w:pPr>
      <w:r>
        <w:t>Identify component projects, dependencies, workstreams and resource constraints.</w:t>
      </w:r>
    </w:p>
    <w:p>
      <w:pPr>
        <w:pStyle w:val="ListBullet"/>
      </w:pPr>
      <w:r>
        <w:t>Establish programme governance, decision rights, reporting and escalation.</w:t>
      </w:r>
    </w:p>
    <w:p>
      <w:pPr>
        <w:pStyle w:val="ListBullet"/>
      </w:pPr>
      <w:r>
        <w:t>Manage programme-level risks, issues, assumptions and dependencies.</w:t>
      </w:r>
    </w:p>
    <w:p>
      <w:pPr>
        <w:pStyle w:val="ListBullet"/>
      </w:pPr>
      <w:r>
        <w:t>Coordinate organisational change, stakeholder adoption and supplier contributions.</w:t>
      </w:r>
    </w:p>
    <w:p>
      <w:pPr>
        <w:pStyle w:val="ListBullet"/>
      </w:pPr>
      <w:r>
        <w:t>Review whether continued investment remains justified as evidence emerges.</w:t>
      </w:r>
    </w:p>
    <w:p>
      <w:r>
        <w:t>Potential outputs: programme brief, governance structure, benefits map, integrated roadmap, dependency map, programme risk register, resource plan and benefits-realisation reports.</w:t>
      </w:r>
    </w:p>
    <w:p>
      <w:pPr>
        <w:pStyle w:val="Heading1"/>
      </w:pPr>
      <w:r>
        <w:t>5. PRINCE2: Controlling Individual Projects</w:t>
      </w:r>
    </w:p>
    <w:p>
      <w:r>
        <w:t>PRINCE2 can provide project-level control beneath a programme. It is useful where a client expects clear business justification, defined accountability, controlled changes and formal decisions at agreed points.</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color w:val="1F4E79"/>
              </w:rPr>
              <w:t>Illustrative project stage</w:t>
            </w:r>
          </w:p>
        </w:tc>
        <w:tc>
          <w:tcPr>
            <w:tcW w:type="dxa" w:w="3312"/>
          </w:tcPr>
          <w:p>
            <w:r>
              <w:rPr>
                <w:b/>
                <w:color w:val="1F4E79"/>
              </w:rPr>
              <w:t>Management outputs</w:t>
            </w:r>
          </w:p>
        </w:tc>
        <w:tc>
          <w:tcPr>
            <w:tcW w:type="dxa" w:w="3312"/>
          </w:tcPr>
          <w:p>
            <w:r>
              <w:rPr>
                <w:b/>
                <w:color w:val="1F4E79"/>
              </w:rPr>
              <w:t>Decision focus</w:t>
            </w:r>
          </w:p>
        </w:tc>
      </w:tr>
      <w:tr>
        <w:tc>
          <w:tcPr>
            <w:tcW w:type="dxa" w:w="3312"/>
          </w:tcPr>
          <w:p>
            <w:r>
              <w:t>Initiation</w:t>
            </w:r>
          </w:p>
        </w:tc>
        <w:tc>
          <w:tcPr>
            <w:tcW w:type="dxa" w:w="3312"/>
          </w:tcPr>
          <w:p>
            <w:r>
              <w:t>Project brief, scope, stakeholders, initial risks and responsibilities.</w:t>
            </w:r>
          </w:p>
        </w:tc>
        <w:tc>
          <w:tcPr>
            <w:tcW w:type="dxa" w:w="3312"/>
          </w:tcPr>
          <w:p>
            <w:r>
              <w:t>Is the project sufficiently defined to plan?</w:t>
            </w:r>
          </w:p>
        </w:tc>
      </w:tr>
      <w:tr>
        <w:tc>
          <w:tcPr>
            <w:tcW w:type="dxa" w:w="3312"/>
          </w:tcPr>
          <w:p>
            <w:r>
              <w:t>Planning and baseline</w:t>
            </w:r>
          </w:p>
        </w:tc>
        <w:tc>
          <w:tcPr>
            <w:tcW w:type="dxa" w:w="3312"/>
          </w:tcPr>
          <w:p>
            <w:r>
              <w:t>Deliverables, schedule, budget, quality and acceptance approach.</w:t>
            </w:r>
          </w:p>
        </w:tc>
        <w:tc>
          <w:tcPr>
            <w:tcW w:type="dxa" w:w="3312"/>
          </w:tcPr>
          <w:p>
            <w:r>
              <w:t>Is the plan viable and authorised?</w:t>
            </w:r>
          </w:p>
        </w:tc>
      </w:tr>
      <w:tr>
        <w:tc>
          <w:tcPr>
            <w:tcW w:type="dxa" w:w="3312"/>
          </w:tcPr>
          <w:p>
            <w:r>
              <w:t>Delivery and control</w:t>
            </w:r>
          </w:p>
        </w:tc>
        <w:tc>
          <w:tcPr>
            <w:tcW w:type="dxa" w:w="3312"/>
          </w:tcPr>
          <w:p>
            <w:r>
              <w:t>Progress reports, issue/risk/change records, forecasts and quality results.</w:t>
            </w:r>
          </w:p>
        </w:tc>
        <w:tc>
          <w:tcPr>
            <w:tcW w:type="dxa" w:w="3312"/>
          </w:tcPr>
          <w:p>
            <w:r>
              <w:t>Can delivery continue within agreed tolerances?</w:t>
            </w:r>
          </w:p>
        </w:tc>
      </w:tr>
      <w:tr>
        <w:tc>
          <w:tcPr>
            <w:tcW w:type="dxa" w:w="3312"/>
          </w:tcPr>
          <w:p>
            <w:r>
              <w:t>Integration and acceptance</w:t>
            </w:r>
          </w:p>
        </w:tc>
        <w:tc>
          <w:tcPr>
            <w:tcW w:type="dxa" w:w="3312"/>
          </w:tcPr>
          <w:p>
            <w:r>
              <w:t>Test evidence, acceptance results, unresolved issues and operational impacts.</w:t>
            </w:r>
          </w:p>
        </w:tc>
        <w:tc>
          <w:tcPr>
            <w:tcW w:type="dxa" w:w="3312"/>
          </w:tcPr>
          <w:p>
            <w:r>
              <w:t>Does the deliverable meet agreed criteria?</w:t>
            </w:r>
          </w:p>
        </w:tc>
      </w:tr>
      <w:tr>
        <w:tc>
          <w:tcPr>
            <w:tcW w:type="dxa" w:w="3312"/>
          </w:tcPr>
          <w:p>
            <w:r>
              <w:t>Transition and closure</w:t>
            </w:r>
          </w:p>
        </w:tc>
        <w:tc>
          <w:tcPr>
            <w:tcW w:type="dxa" w:w="3312"/>
          </w:tcPr>
          <w:p>
            <w:r>
              <w:t>Handover, support arrangements, lessons, final costs and closure report.</w:t>
            </w:r>
          </w:p>
        </w:tc>
        <w:tc>
          <w:tcPr>
            <w:tcW w:type="dxa" w:w="3312"/>
          </w:tcPr>
          <w:p>
            <w:r>
              <w:t>Is the project ready to close or does follow-on work require authorisation?</w:t>
            </w:r>
          </w:p>
        </w:tc>
      </w:tr>
    </w:tbl>
    <w:p>
      <w:r>
        <w:t>These stages are an illustrative Bhadale IT management pattern, not a prescribed PRINCE2 stage structure. Tailor the method to scale, risk and contract context.</w:t>
      </w:r>
    </w:p>
    <w:p>
      <w:pPr>
        <w:pStyle w:val="Heading1"/>
      </w:pPr>
      <w:r>
        <w:t>6. SAFe and Scrum: Managing Incremental Delivery</w:t>
      </w:r>
    </w:p>
    <w:p>
      <w:r>
        <w:t>Agile delivery should operate within programme and project governance rather than replace it. Scrum suits a team delivering a bounded increment. SAFe may be useful where multiple teams need coordinated planning, integration and delivery management. Its additional structure should be justified by actual coordination needs.</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color w:val="1F4E79"/>
              </w:rPr>
              <w:t>Delivery context</w:t>
            </w:r>
          </w:p>
        </w:tc>
        <w:tc>
          <w:tcPr>
            <w:tcW w:type="dxa" w:w="3312"/>
          </w:tcPr>
          <w:p>
            <w:r>
              <w:rPr>
                <w:b/>
                <w:color w:val="1F4E79"/>
              </w:rPr>
              <w:t>Potential approach</w:t>
            </w:r>
          </w:p>
        </w:tc>
        <w:tc>
          <w:tcPr>
            <w:tcW w:type="dxa" w:w="3312"/>
          </w:tcPr>
          <w:p>
            <w:r>
              <w:rPr>
                <w:b/>
                <w:color w:val="1F4E79"/>
              </w:rPr>
              <w:t>Management emphasis</w:t>
            </w:r>
          </w:p>
        </w:tc>
      </w:tr>
      <w:tr>
        <w:tc>
          <w:tcPr>
            <w:tcW w:type="dxa" w:w="3312"/>
          </w:tcPr>
          <w:p>
            <w:r>
              <w:t>Small, bounded work</w:t>
            </w:r>
          </w:p>
        </w:tc>
        <w:tc>
          <w:tcPr>
            <w:tcW w:type="dxa" w:w="3312"/>
          </w:tcPr>
          <w:p>
            <w:r>
              <w:t>Scrum or lightweight iterative approach.</w:t>
            </w:r>
          </w:p>
        </w:tc>
        <w:tc>
          <w:tcPr>
            <w:tcW w:type="dxa" w:w="3312"/>
          </w:tcPr>
          <w:p>
            <w:r>
              <w:t>Sprint goal, backlog, demonstration, acceptance and retrospective.</w:t>
            </w:r>
          </w:p>
        </w:tc>
      </w:tr>
      <w:tr>
        <w:tc>
          <w:tcPr>
            <w:tcW w:type="dxa" w:w="3312"/>
          </w:tcPr>
          <w:p>
            <w:r>
              <w:t>Several dependent teams</w:t>
            </w:r>
          </w:p>
        </w:tc>
        <w:tc>
          <w:tcPr>
            <w:tcW w:type="dxa" w:w="3312"/>
          </w:tcPr>
          <w:p>
            <w:r>
              <w:t>Coordinated Scrum teams or Scrum of Scrums.</w:t>
            </w:r>
          </w:p>
        </w:tc>
        <w:tc>
          <w:tcPr>
            <w:tcW w:type="dxa" w:w="3312"/>
          </w:tcPr>
          <w:p>
            <w:r>
              <w:t>Dependencies, shared milestones, integration and cross-team impediments.</w:t>
            </w:r>
          </w:p>
        </w:tc>
      </w:tr>
      <w:tr>
        <w:tc>
          <w:tcPr>
            <w:tcW w:type="dxa" w:w="3312"/>
          </w:tcPr>
          <w:p>
            <w:r>
              <w:t>Large multi-team delivery</w:t>
            </w:r>
          </w:p>
        </w:tc>
        <w:tc>
          <w:tcPr>
            <w:tcW w:type="dxa" w:w="3312"/>
          </w:tcPr>
          <w:p>
            <w:r>
              <w:t>SAFe where justified.</w:t>
            </w:r>
          </w:p>
        </w:tc>
        <w:tc>
          <w:tcPr>
            <w:tcW w:type="dxa" w:w="3312"/>
          </w:tcPr>
          <w:p>
            <w:r>
              <w:t>Alignment, planning cadence, integration, delivery risks and cross-team outcomes.</w:t>
            </w:r>
          </w:p>
        </w:tc>
      </w:tr>
    </w:tbl>
    <w:p>
      <w:r>
        <w:t>Illustrative Deployment Operator increments:</w:t>
      </w:r>
    </w:p>
    <w:p>
      <w:pPr>
        <w:pStyle w:val="ListNumber"/>
      </w:pPr>
      <w:r>
        <w:t>Define project-scoped resource requests and acceptance criteria.</w:t>
      </w:r>
    </w:p>
    <w:p>
      <w:pPr>
        <w:pStyle w:val="ListNumber"/>
      </w:pPr>
      <w:r>
        <w:t>Demonstrate resource discovery and compatibility assessment.</w:t>
      </w:r>
    </w:p>
    <w:p>
      <w:pPr>
        <w:pStyle w:val="ListNumber"/>
      </w:pPr>
      <w:r>
        <w:t>Generate and review deployment plans.</w:t>
      </w:r>
    </w:p>
    <w:p>
      <w:pPr>
        <w:pStyle w:val="ListNumber"/>
      </w:pPr>
      <w:r>
        <w:t>Implement approval and controlled execution.</w:t>
      </w:r>
    </w:p>
    <w:p>
      <w:pPr>
        <w:pStyle w:val="ListNumber"/>
      </w:pPr>
      <w:r>
        <w:t>Capture experiment evidence, resource consumption and cost references.</w:t>
      </w:r>
    </w:p>
    <w:p>
      <w:pPr>
        <w:pStyle w:val="ListNumber"/>
      </w:pPr>
      <w:r>
        <w:t>Demonstrate resource release, reuse and exception handling.</w:t>
      </w:r>
    </w:p>
    <w:p>
      <w:r>
        <w:t>These increments are planning examples; they do not assert that the capabilities are already implemented.</w:t>
      </w:r>
    </w:p>
    <w:p>
      <w:pPr>
        <w:pStyle w:val="Heading1"/>
      </w:pPr>
      <w:r>
        <w:t>7. Portfolio, Investment and Stage-Gate Management</w:t>
      </w:r>
    </w:p>
    <w:p>
      <w:r>
        <w:t>A client should make investment decisions progressively rather than commit to a complete physical QAI data centre before need, technical readiness and the commercial case are established.</w:t>
      </w:r>
    </w:p>
    <w:p>
      <w:pPr>
        <w:pStyle w:val="ListBullet"/>
      </w:pPr>
      <w:r>
        <w:t>Compare initiatives against strategic fit, customer value, feasibility, risk, capacity and affordability.</w:t>
      </w:r>
    </w:p>
    <w:p>
      <w:pPr>
        <w:pStyle w:val="ListBullet"/>
      </w:pPr>
      <w:r>
        <w:t>Use stage gates to authorise discovery, feasibility, detailed planning, virtual validation, pilot deployment and scaling.</w:t>
      </w:r>
    </w:p>
    <w:p>
      <w:pPr>
        <w:pStyle w:val="ListBullet"/>
      </w:pPr>
      <w:r>
        <w:t>Maintain assumptions for cost, demand, energy, water, schedule, supplier availability and expected benefits.</w:t>
      </w:r>
    </w:p>
    <w:p>
      <w:pPr>
        <w:pStyle w:val="ListBullet"/>
      </w:pPr>
      <w:r>
        <w:t>Separate estimates, commitments, actual costs and forecasts.</w:t>
      </w:r>
    </w:p>
    <w:p>
      <w:pPr>
        <w:pStyle w:val="ListBullet"/>
      </w:pPr>
      <w:r>
        <w:t>Reassess the business case when assumptions change or evidence contradicts expectations.</w:t>
      </w:r>
    </w:p>
    <w:p>
      <w:pPr>
        <w:pStyle w:val="ListBullet"/>
      </w:pPr>
      <w:r>
        <w:t>Document go, conditional-go, rework, hold or stop decisions with accountable decision owners.</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color w:val="1F4E79"/>
              </w:rPr>
              <w:t>Gate</w:t>
            </w:r>
          </w:p>
        </w:tc>
        <w:tc>
          <w:tcPr>
            <w:tcW w:type="dxa" w:w="3312"/>
          </w:tcPr>
          <w:p>
            <w:r>
              <w:rPr>
                <w:b/>
                <w:color w:val="1F4E79"/>
              </w:rPr>
              <w:t>Decision question</w:t>
            </w:r>
          </w:p>
        </w:tc>
        <w:tc>
          <w:tcPr>
            <w:tcW w:type="dxa" w:w="3312"/>
          </w:tcPr>
          <w:p>
            <w:r>
              <w:rPr>
                <w:b/>
                <w:color w:val="1F4E79"/>
              </w:rPr>
              <w:t>Indicative evidence</w:t>
            </w:r>
          </w:p>
        </w:tc>
      </w:tr>
      <w:tr>
        <w:tc>
          <w:tcPr>
            <w:tcW w:type="dxa" w:w="3312"/>
          </w:tcPr>
          <w:p>
            <w:r>
              <w:t>Opportunity</w:t>
            </w:r>
          </w:p>
        </w:tc>
        <w:tc>
          <w:tcPr>
            <w:tcW w:type="dxa" w:w="3312"/>
          </w:tcPr>
          <w:p>
            <w:r>
              <w:t>Is there a real need and a suitable sponsor?</w:t>
            </w:r>
          </w:p>
        </w:tc>
        <w:tc>
          <w:tcPr>
            <w:tcW w:type="dxa" w:w="3312"/>
          </w:tcPr>
          <w:p>
            <w:r>
              <w:t>Problem statement, stakeholders, strategic fit and initial constraints.</w:t>
            </w:r>
          </w:p>
        </w:tc>
      </w:tr>
      <w:tr>
        <w:tc>
          <w:tcPr>
            <w:tcW w:type="dxa" w:w="3312"/>
          </w:tcPr>
          <w:p>
            <w:r>
              <w:t>Feasibility</w:t>
            </w:r>
          </w:p>
        </w:tc>
        <w:tc>
          <w:tcPr>
            <w:tcW w:type="dxa" w:w="3312"/>
          </w:tcPr>
          <w:p>
            <w:r>
              <w:t>Is there a credible delivery and investment option?</w:t>
            </w:r>
          </w:p>
        </w:tc>
        <w:tc>
          <w:tcPr>
            <w:tcW w:type="dxa" w:w="3312"/>
          </w:tcPr>
          <w:p>
            <w:r>
              <w:t>Options analysis, initial architecture, cost range, risk and benefits hypotheses.</w:t>
            </w:r>
          </w:p>
        </w:tc>
      </w:tr>
      <w:tr>
        <w:tc>
          <w:tcPr>
            <w:tcW w:type="dxa" w:w="3312"/>
          </w:tcPr>
          <w:p>
            <w:r>
              <w:t>Authorisation</w:t>
            </w:r>
          </w:p>
        </w:tc>
        <w:tc>
          <w:tcPr>
            <w:tcW w:type="dxa" w:w="3312"/>
          </w:tcPr>
          <w:p>
            <w:r>
              <w:t>Are scope, funding, responsibilities and controls approved?</w:t>
            </w:r>
          </w:p>
        </w:tc>
        <w:tc>
          <w:tcPr>
            <w:tcW w:type="dxa" w:w="3312"/>
          </w:tcPr>
          <w:p>
            <w:r>
              <w:t>Business case, delivery plan, procurement route and governance.</w:t>
            </w:r>
          </w:p>
        </w:tc>
      </w:tr>
      <w:tr>
        <w:tc>
          <w:tcPr>
            <w:tcW w:type="dxa" w:w="3312"/>
          </w:tcPr>
          <w:p>
            <w:r>
              <w:t>Readiness</w:t>
            </w:r>
          </w:p>
        </w:tc>
        <w:tc>
          <w:tcPr>
            <w:tcW w:type="dxa" w:w="3312"/>
          </w:tcPr>
          <w:p>
            <w:r>
              <w:t>Can planned work be delivered and operated safely?</w:t>
            </w:r>
          </w:p>
        </w:tc>
        <w:tc>
          <w:tcPr>
            <w:tcW w:type="dxa" w:w="3312"/>
          </w:tcPr>
          <w:p>
            <w:r>
              <w:t>Validated design, supplier readiness, test plan, support and acceptance criteria.</w:t>
            </w:r>
          </w:p>
        </w:tc>
      </w:tr>
      <w:tr>
        <w:tc>
          <w:tcPr>
            <w:tcW w:type="dxa" w:w="3312"/>
          </w:tcPr>
          <w:p>
            <w:r>
              <w:t>Pilot review</w:t>
            </w:r>
          </w:p>
        </w:tc>
        <w:tc>
          <w:tcPr>
            <w:tcW w:type="dxa" w:w="3312"/>
          </w:tcPr>
          <w:p>
            <w:r>
              <w:t>Does evidence justify continuation or scaling?</w:t>
            </w:r>
          </w:p>
        </w:tc>
        <w:tc>
          <w:tcPr>
            <w:tcW w:type="dxa" w:w="3312"/>
          </w:tcPr>
          <w:p>
            <w:r>
              <w:t>Results against baseline, actual costs, operational findings and benefits assessment.</w:t>
            </w:r>
          </w:p>
        </w:tc>
      </w:tr>
      <w:tr>
        <w:tc>
          <w:tcPr>
            <w:tcW w:type="dxa" w:w="3312"/>
          </w:tcPr>
          <w:p>
            <w:r>
              <w:t>Scale / closure</w:t>
            </w:r>
          </w:p>
        </w:tc>
        <w:tc>
          <w:tcPr>
            <w:tcW w:type="dxa" w:w="3312"/>
          </w:tcPr>
          <w:p>
            <w:r>
              <w:t>Should the service expand, change or stop?</w:t>
            </w:r>
          </w:p>
        </w:tc>
        <w:tc>
          <w:tcPr>
            <w:tcW w:type="dxa" w:w="3312"/>
          </w:tcPr>
          <w:p>
            <w:r>
              <w:t>Benefits review, lifecycle costs, lessons and approved next-stage plan.</w:t>
            </w:r>
          </w:p>
        </w:tc>
      </w:tr>
    </w:tbl>
    <w:p>
      <w:pPr>
        <w:pStyle w:val="Heading1"/>
      </w:pPr>
      <w:r>
        <w:t>8. Australian Government Assurance Context</w:t>
      </w:r>
    </w:p>
    <w:p>
      <w:r>
        <w:t>For Australian public-sector engagements, map the selected management approach to the buyer’s actual procurement, assurance and governance requirements. Commonwealth Gateway and assurance review processes may apply to particular proposals; they should not be assumed to apply identically to every department, state, territory or project.</w:t>
      </w:r>
    </w:p>
    <w:p>
      <w:r>
        <w:t>The Australian Government Department of Finance publishes assurance-review guidance and lessons from Gateway reviews. These are useful references for structuring decision evidence, accountability, risks, schedules, resources and escalation.</w:t>
      </w:r>
    </w:p>
    <w:p>
      <w:r>
        <w:t>Assurance Reviews and Risk Assessment: https://www.finance.gov.au/government/assurance-reviews-and-risk-assessment/assurance-reviews-process-overview</w:t>
      </w:r>
    </w:p>
    <w:p>
      <w:r>
        <w:t>Guidance on assurance reviews process (RMG 106): https://www.finance.gov.au/publications/resource-management-guides/guidance-assurance-reviews-process-rmg-106</w:t>
      </w:r>
    </w:p>
    <w:p>
      <w:r>
        <w:t>Verify applicable processes, thresholds and mandatory requirements for each opportunity. Present the methods as a delivery approach, not as government endorsement.</w:t>
      </w:r>
    </w:p>
    <w:p>
      <w:pPr>
        <w:pStyle w:val="Heading1"/>
      </w:pPr>
      <w:r>
        <w:t>9. Roles, Responsibilities and Decision Rights</w:t>
      </w:r>
    </w:p>
    <w:tbl>
      <w:tblPr>
        <w:tblStyle w:val="TableGrid"/>
        <w:tblW w:type="auto" w:w="0"/>
        <w:tblLook w:firstColumn="1" w:firstRow="1" w:lastColumn="0" w:lastRow="0" w:noHBand="0" w:noVBand="1" w:val="04A0"/>
      </w:tblPr>
      <w:tblGrid>
        <w:gridCol w:w="4968"/>
        <w:gridCol w:w="4968"/>
      </w:tblGrid>
      <w:tr>
        <w:tc>
          <w:tcPr>
            <w:tcW w:type="dxa" w:w="4968"/>
          </w:tcPr>
          <w:p>
            <w:r>
              <w:rPr>
                <w:b/>
                <w:color w:val="1F4E79"/>
              </w:rPr>
              <w:t>Role</w:t>
            </w:r>
          </w:p>
        </w:tc>
        <w:tc>
          <w:tcPr>
            <w:tcW w:type="dxa" w:w="4968"/>
          </w:tcPr>
          <w:p>
            <w:r>
              <w:rPr>
                <w:b/>
                <w:color w:val="1F4E79"/>
              </w:rPr>
              <w:t>Primary accountability</w:t>
            </w:r>
          </w:p>
        </w:tc>
      </w:tr>
      <w:tr>
        <w:tc>
          <w:tcPr>
            <w:tcW w:type="dxa" w:w="4968"/>
          </w:tcPr>
          <w:p>
            <w:r>
              <w:t>Client sponsor / business owner</w:t>
            </w:r>
          </w:p>
        </w:tc>
        <w:tc>
          <w:tcPr>
            <w:tcW w:type="dxa" w:w="4968"/>
          </w:tcPr>
          <w:p>
            <w:r>
              <w:t>Business need, intended outcomes, sponsorship and acceptance of business results.</w:t>
            </w:r>
          </w:p>
        </w:tc>
      </w:tr>
      <w:tr>
        <w:tc>
          <w:tcPr>
            <w:tcW w:type="dxa" w:w="4968"/>
          </w:tcPr>
          <w:p>
            <w:r>
              <w:t>Investment or steering group</w:t>
            </w:r>
          </w:p>
        </w:tc>
        <w:tc>
          <w:tcPr>
            <w:tcW w:type="dxa" w:w="4968"/>
          </w:tcPr>
          <w:p>
            <w:r>
              <w:t>Funding decisions, priorities, major risks, stage-gate decisions and escalations.</w:t>
            </w:r>
          </w:p>
        </w:tc>
      </w:tr>
      <w:tr>
        <w:tc>
          <w:tcPr>
            <w:tcW w:type="dxa" w:w="4968"/>
          </w:tcPr>
          <w:p>
            <w:r>
              <w:t>Programme manager</w:t>
            </w:r>
          </w:p>
        </w:tc>
        <w:tc>
          <w:tcPr>
            <w:tcW w:type="dxa" w:w="4968"/>
          </w:tcPr>
          <w:p>
            <w:r>
              <w:t>Programme roadmap, dependencies, outcomes, benefits, cross-project risks and reporting.</w:t>
            </w:r>
          </w:p>
        </w:tc>
      </w:tr>
      <w:tr>
        <w:tc>
          <w:tcPr>
            <w:tcW w:type="dxa" w:w="4968"/>
          </w:tcPr>
          <w:p>
            <w:r>
              <w:t>Project manager</w:t>
            </w:r>
          </w:p>
        </w:tc>
        <w:tc>
          <w:tcPr>
            <w:tcW w:type="dxa" w:w="4968"/>
          </w:tcPr>
          <w:p>
            <w:r>
              <w:t>Project plan, scope, schedule, budget, risks, issues, changes and delivery acceptance.</w:t>
            </w:r>
          </w:p>
        </w:tc>
      </w:tr>
      <w:tr>
        <w:tc>
          <w:tcPr>
            <w:tcW w:type="dxa" w:w="4968"/>
          </w:tcPr>
          <w:p>
            <w:r>
              <w:t>Product owner</w:t>
            </w:r>
          </w:p>
        </w:tc>
        <w:tc>
          <w:tcPr>
            <w:tcW w:type="dxa" w:w="4968"/>
          </w:tcPr>
          <w:p>
            <w:r>
              <w:t>Prioritised backlog, user value, acceptance criteria and product direction.</w:t>
            </w:r>
          </w:p>
        </w:tc>
      </w:tr>
      <w:tr>
        <w:tc>
          <w:tcPr>
            <w:tcW w:type="dxa" w:w="4968"/>
          </w:tcPr>
          <w:p>
            <w:r>
              <w:t>Scrum master / Agile delivery lead</w:t>
            </w:r>
          </w:p>
        </w:tc>
        <w:tc>
          <w:tcPr>
            <w:tcW w:type="dxa" w:w="4968"/>
          </w:tcPr>
          <w:p>
            <w:r>
              <w:t>Facilitation, delivery flow, impediment removal and team improvement.</w:t>
            </w:r>
          </w:p>
        </w:tc>
      </w:tr>
      <w:tr>
        <w:tc>
          <w:tcPr>
            <w:tcW w:type="dxa" w:w="4968"/>
          </w:tcPr>
          <w:p>
            <w:r>
              <w:t>Engineering lead / systems engineer</w:t>
            </w:r>
          </w:p>
        </w:tc>
        <w:tc>
          <w:tcPr>
            <w:tcW w:type="dxa" w:w="4968"/>
          </w:tcPr>
          <w:p>
            <w:r>
              <w:t>Requirements, technical integrity, interfaces, verification and validation.</w:t>
            </w:r>
          </w:p>
        </w:tc>
      </w:tr>
      <w:tr>
        <w:tc>
          <w:tcPr>
            <w:tcW w:type="dxa" w:w="4968"/>
          </w:tcPr>
          <w:p>
            <w:r>
              <w:t>Service owner / operations lead</w:t>
            </w:r>
          </w:p>
        </w:tc>
        <w:tc>
          <w:tcPr>
            <w:tcW w:type="dxa" w:w="4968"/>
          </w:tcPr>
          <w:p>
            <w:r>
              <w:t>Service readiness, operational performance, incidents, support and continual improvement.</w:t>
            </w:r>
          </w:p>
        </w:tc>
      </w:tr>
      <w:tr>
        <w:tc>
          <w:tcPr>
            <w:tcW w:type="dxa" w:w="4968"/>
          </w:tcPr>
          <w:p>
            <w:r>
              <w:t>Finance / commercial lead</w:t>
            </w:r>
          </w:p>
        </w:tc>
        <w:tc>
          <w:tcPr>
            <w:tcW w:type="dxa" w:w="4968"/>
          </w:tcPr>
          <w:p>
            <w:r>
              <w:t>Cost assumptions, budget controls, procurement, commercial terms and financial reporting.</w:t>
            </w:r>
          </w:p>
        </w:tc>
      </w:tr>
      <w:tr>
        <w:tc>
          <w:tcPr>
            <w:tcW w:type="dxa" w:w="4968"/>
          </w:tcPr>
          <w:p>
            <w:r>
              <w:t>Assurance / risk lead</w:t>
            </w:r>
          </w:p>
        </w:tc>
        <w:tc>
          <w:tcPr>
            <w:tcW w:type="dxa" w:w="4968"/>
          </w:tcPr>
          <w:p>
            <w:r>
              <w:t>Independent or delegated review, risk challenge, evidence quality and escalation.</w:t>
            </w:r>
          </w:p>
        </w:tc>
      </w:tr>
    </w:tbl>
    <w:p>
      <w:r>
        <w:t>One person may hold multiple roles in a small engagement, subject to conflict-of-interest and approval controls. Decision authority should be documented, especially where one party proposes, approves and verifies work.</w:t>
      </w:r>
    </w:p>
    <w:p>
      <w:pPr>
        <w:pStyle w:val="Heading1"/>
      </w:pPr>
      <w:r>
        <w:t>10. Management Artefacts and Reporting Cadence</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color w:val="1F4E79"/>
              </w:rPr>
              <w:t>Artefact</w:t>
            </w:r>
          </w:p>
        </w:tc>
        <w:tc>
          <w:tcPr>
            <w:tcW w:type="dxa" w:w="3312"/>
          </w:tcPr>
          <w:p>
            <w:r>
              <w:rPr>
                <w:b/>
                <w:color w:val="1F4E79"/>
              </w:rPr>
              <w:t>Purpose</w:t>
            </w:r>
          </w:p>
        </w:tc>
        <w:tc>
          <w:tcPr>
            <w:tcW w:type="dxa" w:w="3312"/>
          </w:tcPr>
          <w:p>
            <w:r>
              <w:rPr>
                <w:b/>
                <w:color w:val="1F4E79"/>
              </w:rPr>
              <w:t>Typical review</w:t>
            </w:r>
          </w:p>
        </w:tc>
      </w:tr>
      <w:tr>
        <w:tc>
          <w:tcPr>
            <w:tcW w:type="dxa" w:w="3312"/>
          </w:tcPr>
          <w:p>
            <w:r>
              <w:t>Business case and benefits map</w:t>
            </w:r>
          </w:p>
        </w:tc>
        <w:tc>
          <w:tcPr>
            <w:tcW w:type="dxa" w:w="3312"/>
          </w:tcPr>
          <w:p>
            <w:r>
              <w:t>Connect investment to outcomes and measurable benefits.</w:t>
            </w:r>
          </w:p>
        </w:tc>
        <w:tc>
          <w:tcPr>
            <w:tcW w:type="dxa" w:w="3312"/>
          </w:tcPr>
          <w:p>
            <w:r>
              <w:t>At stage gates and when assumptions change.</w:t>
            </w:r>
          </w:p>
        </w:tc>
      </w:tr>
      <w:tr>
        <w:tc>
          <w:tcPr>
            <w:tcW w:type="dxa" w:w="3312"/>
          </w:tcPr>
          <w:p>
            <w:r>
              <w:t>Integrated programme roadmap</w:t>
            </w:r>
          </w:p>
        </w:tc>
        <w:tc>
          <w:tcPr>
            <w:tcW w:type="dxa" w:w="3312"/>
          </w:tcPr>
          <w:p>
            <w:r>
              <w:t>Coordinate projects, dependencies, milestones and capacity.</w:t>
            </w:r>
          </w:p>
        </w:tc>
        <w:tc>
          <w:tcPr>
            <w:tcW w:type="dxa" w:w="3312"/>
          </w:tcPr>
          <w:p>
            <w:r>
              <w:t>Monthly or agreed programme cadence.</w:t>
            </w:r>
          </w:p>
        </w:tc>
      </w:tr>
      <w:tr>
        <w:tc>
          <w:tcPr>
            <w:tcW w:type="dxa" w:w="3312"/>
          </w:tcPr>
          <w:p>
            <w:r>
              <w:t>Project plan and delivery baseline</w:t>
            </w:r>
          </w:p>
        </w:tc>
        <w:tc>
          <w:tcPr>
            <w:tcW w:type="dxa" w:w="3312"/>
          </w:tcPr>
          <w:p>
            <w:r>
              <w:t>Control scope, schedule, budget, quality and acceptance.</w:t>
            </w:r>
          </w:p>
        </w:tc>
        <w:tc>
          <w:tcPr>
            <w:tcW w:type="dxa" w:w="3312"/>
          </w:tcPr>
          <w:p>
            <w:r>
              <w:t>At authorisation and through project controls.</w:t>
            </w:r>
          </w:p>
        </w:tc>
      </w:tr>
      <w:tr>
        <w:tc>
          <w:tcPr>
            <w:tcW w:type="dxa" w:w="3312"/>
          </w:tcPr>
          <w:p>
            <w:r>
              <w:t>RAID log</w:t>
            </w:r>
          </w:p>
        </w:tc>
        <w:tc>
          <w:tcPr>
            <w:tcW w:type="dxa" w:w="3312"/>
          </w:tcPr>
          <w:p>
            <w:r>
              <w:t>Track risks, assumptions, issues and dependencies.</w:t>
            </w:r>
          </w:p>
        </w:tc>
        <w:tc>
          <w:tcPr>
            <w:tcW w:type="dxa" w:w="3312"/>
          </w:tcPr>
          <w:p>
            <w:r>
              <w:t>Weekly or more often for critical items.</w:t>
            </w:r>
          </w:p>
        </w:tc>
      </w:tr>
      <w:tr>
        <w:tc>
          <w:tcPr>
            <w:tcW w:type="dxa" w:w="3312"/>
          </w:tcPr>
          <w:p>
            <w:r>
              <w:t>Decision and change log</w:t>
            </w:r>
          </w:p>
        </w:tc>
        <w:tc>
          <w:tcPr>
            <w:tcW w:type="dxa" w:w="3312"/>
          </w:tcPr>
          <w:p>
            <w:r>
              <w:t>Preserve approvals, rationale and change history.</w:t>
            </w:r>
          </w:p>
        </w:tc>
        <w:tc>
          <w:tcPr>
            <w:tcW w:type="dxa" w:w="3312"/>
          </w:tcPr>
          <w:p>
            <w:r>
              <w:t>When decisions or controlled changes occur.</w:t>
            </w:r>
          </w:p>
        </w:tc>
      </w:tr>
      <w:tr>
        <w:tc>
          <w:tcPr>
            <w:tcW w:type="dxa" w:w="3312"/>
          </w:tcPr>
          <w:p>
            <w:r>
              <w:t>Backlog and sprint review</w:t>
            </w:r>
          </w:p>
        </w:tc>
        <w:tc>
          <w:tcPr>
            <w:tcW w:type="dxa" w:w="3312"/>
          </w:tcPr>
          <w:p>
            <w:r>
              <w:t>Manage incremental scope, demonstrations and feedback.</w:t>
            </w:r>
          </w:p>
        </w:tc>
        <w:tc>
          <w:tcPr>
            <w:tcW w:type="dxa" w:w="3312"/>
          </w:tcPr>
          <w:p>
            <w:r>
              <w:t>Each sprint.</w:t>
            </w:r>
          </w:p>
        </w:tc>
      </w:tr>
      <w:tr>
        <w:tc>
          <w:tcPr>
            <w:tcW w:type="dxa" w:w="3312"/>
          </w:tcPr>
          <w:p>
            <w:r>
              <w:t>Financial forecast</w:t>
            </w:r>
          </w:p>
        </w:tc>
        <w:tc>
          <w:tcPr>
            <w:tcW w:type="dxa" w:w="3312"/>
          </w:tcPr>
          <w:p>
            <w:r>
              <w:t>Compare budget, commitments, actuals and estimate to complete.</w:t>
            </w:r>
          </w:p>
        </w:tc>
        <w:tc>
          <w:tcPr>
            <w:tcW w:type="dxa" w:w="3312"/>
          </w:tcPr>
          <w:p>
            <w:r>
              <w:t>Agreed financial reporting intervals.</w:t>
            </w:r>
          </w:p>
        </w:tc>
      </w:tr>
      <w:tr>
        <w:tc>
          <w:tcPr>
            <w:tcW w:type="dxa" w:w="3312"/>
          </w:tcPr>
          <w:p>
            <w:r>
              <w:t>Service and delivery dashboard</w:t>
            </w:r>
          </w:p>
        </w:tc>
        <w:tc>
          <w:tcPr>
            <w:tcW w:type="dxa" w:w="3312"/>
          </w:tcPr>
          <w:p>
            <w:r>
              <w:t>Track delivery confidence, quality, utilisation and service performance.</w:t>
            </w:r>
          </w:p>
        </w:tc>
        <w:tc>
          <w:tcPr>
            <w:tcW w:type="dxa" w:w="3312"/>
          </w:tcPr>
          <w:p>
            <w:r>
              <w:t>Weekly/monthly according to needs.</w:t>
            </w:r>
          </w:p>
        </w:tc>
      </w:tr>
      <w:tr>
        <w:tc>
          <w:tcPr>
            <w:tcW w:type="dxa" w:w="3312"/>
          </w:tcPr>
          <w:p>
            <w:r>
              <w:t>Benefits-realisation report</w:t>
            </w:r>
          </w:p>
        </w:tc>
        <w:tc>
          <w:tcPr>
            <w:tcW w:type="dxa" w:w="3312"/>
          </w:tcPr>
          <w:p>
            <w:r>
              <w:t>Assess whether intended outcomes are being achieved.</w:t>
            </w:r>
          </w:p>
        </w:tc>
        <w:tc>
          <w:tcPr>
            <w:tcW w:type="dxa" w:w="3312"/>
          </w:tcPr>
          <w:p>
            <w:r>
              <w:t>At milestones and after deployment.</w:t>
            </w:r>
          </w:p>
        </w:tc>
      </w:tr>
    </w:tbl>
    <w:p>
      <w:pPr>
        <w:pStyle w:val="Heading1"/>
      </w:pPr>
      <w:r>
        <w:t>11. Connection to Engineering and Service Management</w:t>
      </w:r>
    </w:p>
    <w:p>
      <w:r>
        <w:t>This document focuses on managerial methods. Technical engineering and operational frameworks provide complementary controls and should be connected to, but not confused with, programme and project governance.</w:t>
      </w:r>
    </w:p>
    <w:tbl>
      <w:tblPr>
        <w:tblStyle w:val="TableGrid"/>
        <w:tblW w:type="auto" w:w="0"/>
        <w:tblLook w:firstColumn="1" w:firstRow="1" w:lastColumn="0" w:lastRow="0" w:noHBand="0" w:noVBand="1" w:val="04A0"/>
      </w:tblPr>
      <w:tblGrid>
        <w:gridCol w:w="4968"/>
        <w:gridCol w:w="4968"/>
      </w:tblGrid>
      <w:tr>
        <w:tc>
          <w:tcPr>
            <w:tcW w:type="dxa" w:w="4968"/>
          </w:tcPr>
          <w:p>
            <w:r>
              <w:rPr>
                <w:b/>
                <w:color w:val="1F4E79"/>
              </w:rPr>
              <w:t>Discipline</w:t>
            </w:r>
          </w:p>
        </w:tc>
        <w:tc>
          <w:tcPr>
            <w:tcW w:type="dxa" w:w="4968"/>
          </w:tcPr>
          <w:p>
            <w:r>
              <w:rPr>
                <w:b/>
                <w:color w:val="1F4E79"/>
              </w:rPr>
              <w:t>Role in overall delivery</w:t>
            </w:r>
          </w:p>
        </w:tc>
      </w:tr>
      <w:tr>
        <w:tc>
          <w:tcPr>
            <w:tcW w:type="dxa" w:w="4968"/>
          </w:tcPr>
          <w:p>
            <w:r>
              <w:t>Systems engineering</w:t>
            </w:r>
          </w:p>
        </w:tc>
        <w:tc>
          <w:tcPr>
            <w:tcW w:type="dxa" w:w="4968"/>
          </w:tcPr>
          <w:p>
            <w:r>
              <w:t>Requirements, architecture, interfaces, integration, verification, validation and system lifecycle.</w:t>
            </w:r>
          </w:p>
        </w:tc>
      </w:tr>
      <w:tr>
        <w:tc>
          <w:tcPr>
            <w:tcW w:type="dxa" w:w="4968"/>
          </w:tcPr>
          <w:p>
            <w:r>
              <w:t>Software engineering lifecycle</w:t>
            </w:r>
          </w:p>
        </w:tc>
        <w:tc>
          <w:tcPr>
            <w:tcW w:type="dxa" w:w="4968"/>
          </w:tcPr>
          <w:p>
            <w:r>
              <w:t>Software requirements, design, implementation, testing, release, maintenance and retirement.</w:t>
            </w:r>
          </w:p>
        </w:tc>
      </w:tr>
      <w:tr>
        <w:tc>
          <w:tcPr>
            <w:tcW w:type="dxa" w:w="4968"/>
          </w:tcPr>
          <w:p>
            <w:r>
              <w:t>CMMI Services-oriented improvement</w:t>
            </w:r>
          </w:p>
        </w:tc>
        <w:tc>
          <w:tcPr>
            <w:tcW w:type="dxa" w:w="4968"/>
          </w:tcPr>
          <w:p>
            <w:r>
              <w:t>Service process capability, repeatability, measurement and continual improvement.</w:t>
            </w:r>
          </w:p>
        </w:tc>
      </w:tr>
      <w:tr>
        <w:tc>
          <w:tcPr>
            <w:tcW w:type="dxa" w:w="4968"/>
          </w:tcPr>
          <w:p>
            <w:r>
              <w:t>IT service management</w:t>
            </w:r>
          </w:p>
        </w:tc>
        <w:tc>
          <w:tcPr>
            <w:tcW w:type="dxa" w:w="4968"/>
          </w:tcPr>
          <w:p>
            <w:r>
              <w:t>Service catalogue, requests, incidents, changes, configuration and service-level management.</w:t>
            </w:r>
          </w:p>
        </w:tc>
      </w:tr>
      <w:tr>
        <w:tc>
          <w:tcPr>
            <w:tcW w:type="dxa" w:w="4968"/>
          </w:tcPr>
          <w:p>
            <w:r>
              <w:t>QAI Deployment Operator</w:t>
            </w:r>
          </w:p>
        </w:tc>
        <w:tc>
          <w:tcPr>
            <w:tcW w:type="dxa" w:w="4968"/>
          </w:tcPr>
          <w:p>
            <w:r>
              <w:t>Controlled technical deployment and evidence capture within the authorised delivery process.</w:t>
            </w:r>
          </w:p>
        </w:tc>
      </w:tr>
    </w:tbl>
    <w:p>
      <w:r>
        <w:t>Management chain: business need → investment case → programme → project → Agile delivery → engineering verification and validation → service acceptance → benefits measurement.</w:t>
      </w:r>
    </w:p>
    <w:p>
      <w:pPr>
        <w:pStyle w:val="Heading1"/>
      </w:pPr>
      <w:r>
        <w:t>12. Proposed Bhadale IT Implementation Roadmap</w:t>
      </w:r>
    </w:p>
    <w:p>
      <w:pPr>
        <w:pStyle w:val="ListNumber"/>
      </w:pPr>
      <w:r>
        <w:t>Define a method-selection guide explaining when MSP, PRINCE2, SAFe, Scrum or a lightweight tailored approach is appropriate.</w:t>
      </w:r>
    </w:p>
    <w:p>
      <w:pPr>
        <w:pStyle w:val="ListNumber"/>
      </w:pPr>
      <w:r>
        <w:t>Create reusable programme templates: programme brief, benefits map, dependency map, governance structure and programme risk register.</w:t>
      </w:r>
    </w:p>
    <w:p>
      <w:pPr>
        <w:pStyle w:val="ListNumber"/>
      </w:pPr>
      <w:r>
        <w:t>Create reusable project-control templates: project brief, scope, delivery baseline, RAID log, change control, acceptance and closure.</w:t>
      </w:r>
    </w:p>
    <w:p>
      <w:pPr>
        <w:pStyle w:val="ListNumber"/>
      </w:pPr>
      <w:r>
        <w:t>Define Agile reporting and sprint artefacts that connect to programme milestones and project acceptance.</w:t>
      </w:r>
    </w:p>
    <w:p>
      <w:pPr>
        <w:pStyle w:val="ListNumber"/>
      </w:pPr>
      <w:r>
        <w:t>Establish an integrated management dashboard for delivery confidence, cost, risk, dependencies, quality and benefits.</w:t>
      </w:r>
    </w:p>
    <w:p>
      <w:pPr>
        <w:pStyle w:val="ListNumber"/>
      </w:pPr>
      <w:r>
        <w:t>Map relevant evidence to Australian customer procurement and assurance requirements for each opportunity.</w:t>
      </w:r>
    </w:p>
    <w:p>
      <w:pPr>
        <w:pStyle w:val="ListNumber"/>
      </w:pPr>
      <w:r>
        <w:t>Pilot the framework on the existing QAI Deployment Operator roadmap, then refine it using delivery evidence and lessons learned.</w:t>
      </w:r>
    </w:p>
    <w:p>
      <w:pPr>
        <w:pStyle w:val="Heading1"/>
      </w:pPr>
      <w:r>
        <w:t>13. Positioning for Australian Clients</w:t>
      </w:r>
    </w:p>
    <w:p>
      <w:pPr>
        <w:ind w:left="360" w:right="360"/>
      </w:pPr>
      <w:r>
        <w:rPr>
          <w:i/>
        </w:rPr>
        <w:t>Bhadale IT offers a tailored programme, project and engineering delivery approach for QAI infrastructure initiatives. It combines programme-level coordination and benefits management, controlled project delivery, iterative Agile execution and engineering lifecycle governance. The approach is designed to help clients coordinate suppliers and workstreams, maintain visibility of cost and risk, make evidence-based investment decisions and assess outcomes at defined stage gates. Methods are tailored to the client’s procurement, governance, scale and assurance needs; no single framework is imposed on every engagement.</w:t>
      </w:r>
    </w:p>
    <w:p>
      <w:pPr>
        <w:pStyle w:val="Heading1"/>
      </w:pPr>
      <w:r>
        <w:t>14. Important Qualifications</w:t>
      </w:r>
    </w:p>
    <w:p>
      <w:pPr>
        <w:pStyle w:val="ListBullet"/>
      </w:pPr>
      <w:r>
        <w:t>Using a methodology does not itself demonstrate certification, accreditation or formal appraisal.</w:t>
      </w:r>
    </w:p>
    <w:p>
      <w:pPr>
        <w:pStyle w:val="ListBullet"/>
      </w:pPr>
      <w:r>
        <w:t>Gateway and other assurance requirements depend on the specific government body, project, value, risk and applicable rules.</w:t>
      </w:r>
    </w:p>
    <w:p>
      <w:pPr>
        <w:pStyle w:val="ListBullet"/>
      </w:pPr>
      <w:r>
        <w:t>Benefits, savings, returns and delivery dates must be supported by stated assumptions and evidence; they are not guaranteed.</w:t>
      </w:r>
    </w:p>
    <w:p>
      <w:pPr>
        <w:pStyle w:val="ListBullet"/>
      </w:pPr>
      <w:r>
        <w:t>Method selection should be proportionate. Excessive governance can add cost and delay without improving control.</w:t>
      </w:r>
    </w:p>
    <w:p>
      <w:pPr>
        <w:pStyle w:val="ListBullet"/>
      </w:pPr>
      <w:r>
        <w:t>This is a proposed Bhadale IT service approach and should be tailored with each client before contractual commitment.</w:t>
      </w:r>
    </w:p>
    <w:p>
      <w:pPr>
        <w:pStyle w:val="Heading1"/>
      </w:pPr>
      <w:r>
        <w:t>15. References</w:t>
      </w:r>
    </w:p>
    <w:p>
      <w:pPr>
        <w:pStyle w:val="ListBullet"/>
      </w:pPr>
      <w:r>
        <w:t>PeopleCert — MSP framework: https://www.peoplecert.org/Frameworks-Professionals/MSP-Framework</w:t>
      </w:r>
    </w:p>
    <w:p>
      <w:pPr>
        <w:pStyle w:val="ListBullet"/>
      </w:pPr>
      <w:r>
        <w:t>PeopleCert — PRINCE2 programme management: https://www.prince2.com/aus/training/prince2-programme-management</w:t>
      </w:r>
    </w:p>
    <w:p>
      <w:pPr>
        <w:pStyle w:val="ListBullet"/>
      </w:pPr>
      <w:r>
        <w:t>Australian Government Department of Finance — Assurance Reviews: https://www.finance.gov.au/government/assurance-reviews-and-risk-assessment/assurance-reviews-process-overview</w:t>
      </w:r>
    </w:p>
    <w:p>
      <w:pPr>
        <w:pStyle w:val="ListBullet"/>
      </w:pPr>
      <w:r>
        <w:t>Australian Government Department of Finance — Guidance on assurance reviews process (RMG 106): https://www.finance.gov.au/publications/resource-management-guides/guidance-assurance-reviews-process-rmg-106</w:t>
      </w:r>
    </w:p>
    <w:p>
      <w:pPr>
        <w:pStyle w:val="ListBullet"/>
      </w:pPr>
      <w:r>
        <w:t>ISO — ISO/IEC/IEEE 15288 systems lifecycle processes: https://www.iso.org/standard/81702.html</w:t>
      </w:r>
    </w:p>
    <w:p>
      <w:pPr>
        <w:pStyle w:val="ListBullet"/>
      </w:pPr>
      <w:r>
        <w:t>ISO — ISO/IEC/IEEE 12207 software lifecycle processes: https://www.iso.org/standard/90219.html</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Managerial Methods Framework • Australia-facing service concept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BHADALE IT  |  QAI PROGRAMME &amp; PROJECT MANAGEMENT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