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br/>
        <w:br/>
        <w:t>HOLDCO QAI</w:t>
        <w:br/>
        <w:t>INNOVATION-TO-MARKET</w:t>
        <w:br/>
        <w:t>OPERATING MODEL</w:t>
      </w:r>
    </w:p>
    <w:p>
      <w:pPr>
        <w:jc w:val="center"/>
      </w:pPr>
      <w:r>
        <w:rPr>
          <w:i/>
        </w:rPr>
        <w:t>National and Client Alignment • Governed Programmes • Demand-Driven QAI Services • Product Development</w:t>
      </w:r>
    </w:p>
    <w:p>
      <w:pPr>
        <w:jc w:val="center"/>
      </w:pPr>
      <w:r>
        <w:br/>
        <w:t>Bhadale IT</w:t>
        <w:br/>
        <w:t>Concept and operating framework | 20 October 2026</w:t>
      </w:r>
    </w:p>
    <w:p>
      <w:r>
        <w:br w:type="page"/>
      </w:r>
    </w:p>
    <w:p>
      <w:pPr>
        <w:pStyle w:val="Heading1"/>
      </w:pPr>
      <w:r>
        <w:t>1. Executive Summary</w:t>
      </w:r>
    </w:p>
    <w:p>
      <w:r>
        <w:t>This operating model describes how Bhadale IT and the HoldCo governance structure can help clients explore and adopt Quantum AI (QAI) technologies through affordable, demand-driven infrastructure, governed programmes and reusable engineering services. It connects national and client priorities to portfolio decisions, programmes, projects, just-in-time (JIT) resource provisioning, validated deliverables, workforce development and market outcomes.</w:t>
      </w:r>
    </w:p>
    <w:p>
      <w:r>
        <w:t>The proposition is not that Bhadale IT must be the world’s largest QAI provider. It is that clients can start with a bounded experiment or pilot, learn from evidence, build internal capability and expand investment only when the technical and business case justifies it. Claims of savings, quantum advantage, compliance or commercial success must be supported by evidence.</w:t>
      </w:r>
    </w:p>
    <w:p>
      <w:pPr>
        <w:pStyle w:val="Heading1"/>
      </w:pPr>
      <w:r>
        <w:t>2. Operating Principles</w:t>
      </w:r>
    </w:p>
    <w:p>
      <w:pPr>
        <w:pStyle w:val="ListBullet"/>
      </w:pPr>
      <w:r>
        <w:t>Align national priorities and client needs without treating policy alignment as a substitute for a client business case.</w:t>
      </w:r>
    </w:p>
    <w:p>
      <w:pPr>
        <w:pStyle w:val="ListBullet"/>
      </w:pPr>
      <w:r>
        <w:t>Use the HoldCo Board for strategic alignment, portfolio priorities, investment governance and benefits oversight—not day-to-day experiment management.</w:t>
      </w:r>
    </w:p>
    <w:p>
      <w:pPr>
        <w:pStyle w:val="ListBullet"/>
      </w:pPr>
      <w:r>
        <w:t>Translate approved priorities into programmes, projects, work packages, accountable owners and measurable outcomes.</w:t>
      </w:r>
    </w:p>
    <w:p>
      <w:pPr>
        <w:pStyle w:val="ListBullet"/>
      </w:pPr>
      <w:r>
        <w:t>Provision QAI resources when needed, subject to availability, compatibility, budget, security, data governance and approval.</w:t>
      </w:r>
    </w:p>
    <w:p>
      <w:pPr>
        <w:pStyle w:val="ListBullet"/>
      </w:pPr>
      <w:r>
        <w:t>Reuse common platform capabilities and engineering assets across domains while preserving domain-specific controls and client boundaries.</w:t>
      </w:r>
    </w:p>
    <w:p>
      <w:pPr>
        <w:pStyle w:val="ListBullet"/>
      </w:pPr>
      <w:r>
        <w:t>Use classical baselines and evidence-driven evaluation; do not assume quantum advantage.</w:t>
      </w:r>
    </w:p>
    <w:p>
      <w:pPr>
        <w:pStyle w:val="ListBullet"/>
      </w:pPr>
      <w:r>
        <w:t>Help clients develop products, train staff, validate releases and improve market-readiness progressively.</w:t>
      </w:r>
    </w:p>
    <w:p>
      <w:pPr>
        <w:pStyle w:val="Heading1"/>
      </w:pPr>
      <w:r>
        <w:t>3. End-to-End Operating Chain</w:t>
      </w:r>
    </w:p>
    <w:p>
      <w:pPr>
        <w:jc w:val="center"/>
      </w:pPr>
      <w:r>
        <w:rPr>
          <w:b/>
          <w:color w:val="1F4E79"/>
        </w:rPr>
        <w:t>NATIONAL PRIORITIES → HOLDCO BOARD → CLIENT NEEDS → PROGRAMMES → PROJECTS → JIT PROVISIONING → VALIDATED DELIVERABLES → BENEFITS &amp; MARKET OUTCOMES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color w:val="1F4E79"/>
              </w:rPr>
              <w:t>Layer</w:t>
            </w:r>
          </w:p>
        </w:tc>
        <w:tc>
          <w:tcPr>
            <w:tcW w:type="dxa" w:w="3312"/>
          </w:tcPr>
          <w:p>
            <w:r>
              <w:rPr>
                <w:b/>
                <w:color w:val="1F4E79"/>
              </w:rPr>
              <w:t>Accountability</w:t>
            </w:r>
          </w:p>
        </w:tc>
        <w:tc>
          <w:tcPr>
            <w:tcW w:type="dxa" w:w="3312"/>
          </w:tcPr>
          <w:p>
            <w:r>
              <w:rPr>
                <w:b/>
                <w:color w:val="1F4E79"/>
              </w:rPr>
              <w:t>Typical outputs</w:t>
            </w:r>
          </w:p>
        </w:tc>
      </w:tr>
      <w:tr>
        <w:tc>
          <w:tcPr>
            <w:tcW w:type="dxa" w:w="3312"/>
          </w:tcPr>
          <w:p>
            <w:r>
              <w:t>National and policy context</w:t>
            </w:r>
          </w:p>
        </w:tc>
        <w:tc>
          <w:tcPr>
            <w:tcW w:type="dxa" w:w="3312"/>
          </w:tcPr>
          <w:p>
            <w:r>
              <w:t>Identify relevant national interests, policy directions, regulatory requirements and public-value considerations.</w:t>
            </w:r>
          </w:p>
        </w:tc>
        <w:tc>
          <w:tcPr>
            <w:tcW w:type="dxa" w:w="3312"/>
          </w:tcPr>
          <w:p>
            <w:r>
              <w:t>Policy-alignment matrix; compliance obligations; workforce, sustainability and innovation objectives.</w:t>
            </w:r>
          </w:p>
        </w:tc>
      </w:tr>
      <w:tr>
        <w:tc>
          <w:tcPr>
            <w:tcW w:type="dxa" w:w="3312"/>
          </w:tcPr>
          <w:p>
            <w:r>
              <w:t>HoldCo Board / portfolio</w:t>
            </w:r>
          </w:p>
        </w:tc>
        <w:tc>
          <w:tcPr>
            <w:tcW w:type="dxa" w:w="3312"/>
          </w:tcPr>
          <w:p>
            <w:r>
              <w:t>Assess strategic fit, demand, risk, reusable IP, investment and portfolio capacity.</w:t>
            </w:r>
          </w:p>
        </w:tc>
        <w:tc>
          <w:tcPr>
            <w:tcW w:type="dxa" w:w="3312"/>
          </w:tcPr>
          <w:p>
            <w:r>
              <w:t>Prioritised opportunities; investment decisions; programme sponsorship; stage-gate outcomes.</w:t>
            </w:r>
          </w:p>
        </w:tc>
      </w:tr>
      <w:tr>
        <w:tc>
          <w:tcPr>
            <w:tcW w:type="dxa" w:w="3312"/>
          </w:tcPr>
          <w:p>
            <w:r>
              <w:t>Client and product owner</w:t>
            </w:r>
          </w:p>
        </w:tc>
        <w:tc>
          <w:tcPr>
            <w:tcW w:type="dxa" w:w="3312"/>
          </w:tcPr>
          <w:p>
            <w:r>
              <w:t>Define the business problem, desired outcome, budget, constraints and acceptance criteria.</w:t>
            </w:r>
          </w:p>
        </w:tc>
        <w:tc>
          <w:tcPr>
            <w:tcW w:type="dxa" w:w="3312"/>
          </w:tcPr>
          <w:p>
            <w:r>
              <w:t>Client need statement; product objectives; baseline; success measures.</w:t>
            </w:r>
          </w:p>
        </w:tc>
      </w:tr>
      <w:tr>
        <w:tc>
          <w:tcPr>
            <w:tcW w:type="dxa" w:w="3312"/>
          </w:tcPr>
          <w:p>
            <w:r>
              <w:t>Programme management</w:t>
            </w:r>
          </w:p>
        </w:tc>
        <w:tc>
          <w:tcPr>
            <w:tcW w:type="dxa" w:w="3312"/>
          </w:tcPr>
          <w:p>
            <w:r>
              <w:t>Coordinate related projects, suppliers, dependencies, resources and benefits.</w:t>
            </w:r>
          </w:p>
        </w:tc>
        <w:tc>
          <w:tcPr>
            <w:tcW w:type="dxa" w:w="3312"/>
          </w:tcPr>
          <w:p>
            <w:r>
              <w:t>Programme roadmap; benefits map; integrated risks and dependency view.</w:t>
            </w:r>
          </w:p>
        </w:tc>
      </w:tr>
      <w:tr>
        <w:tc>
          <w:tcPr>
            <w:tcW w:type="dxa" w:w="3312"/>
          </w:tcPr>
          <w:p>
            <w:r>
              <w:t>Project management</w:t>
            </w:r>
          </w:p>
        </w:tc>
        <w:tc>
          <w:tcPr>
            <w:tcW w:type="dxa" w:w="3312"/>
          </w:tcPr>
          <w:p>
            <w:r>
              <w:t>Deliver agreed scope, schedule, budget, quality and acceptance.</w:t>
            </w:r>
          </w:p>
        </w:tc>
        <w:tc>
          <w:tcPr>
            <w:tcW w:type="dxa" w:w="3312"/>
          </w:tcPr>
          <w:p>
            <w:r>
              <w:t>Project plan; work packages; acceptance evidence; closure report.</w:t>
            </w:r>
          </w:p>
        </w:tc>
      </w:tr>
      <w:tr>
        <w:tc>
          <w:tcPr>
            <w:tcW w:type="dxa" w:w="3312"/>
          </w:tcPr>
          <w:p>
            <w:r>
              <w:t>QAI-DCaaS platform</w:t>
            </w:r>
          </w:p>
        </w:tc>
        <w:tc>
          <w:tcPr>
            <w:tcW w:type="dxa" w:w="3312"/>
          </w:tcPr>
          <w:p>
            <w:r>
              <w:t>Assess requests, provision eligible resources, manage experiments and release resources.</w:t>
            </w:r>
          </w:p>
        </w:tc>
        <w:tc>
          <w:tcPr>
            <w:tcW w:type="dxa" w:w="3312"/>
          </w:tcPr>
          <w:p>
            <w:r>
              <w:t>Deployment records; experiment evidence; utilisation and cost records.</w:t>
            </w:r>
          </w:p>
        </w:tc>
      </w:tr>
      <w:tr>
        <w:tc>
          <w:tcPr>
            <w:tcW w:type="dxa" w:w="3312"/>
          </w:tcPr>
          <w:p>
            <w:r>
              <w:t>Benefits and commercialisation</w:t>
            </w:r>
          </w:p>
        </w:tc>
        <w:tc>
          <w:tcPr>
            <w:tcW w:type="dxa" w:w="3312"/>
          </w:tcPr>
          <w:p>
            <w:r>
              <w:t>Assess results and decide whether to stop, refine, adopt or scale.</w:t>
            </w:r>
          </w:p>
        </w:tc>
        <w:tc>
          <w:tcPr>
            <w:tcW w:type="dxa" w:w="3312"/>
          </w:tcPr>
          <w:p>
            <w:r>
              <w:t>Benefits review; product roadmap; training plan; market-release decision.</w:t>
            </w:r>
          </w:p>
        </w:tc>
      </w:tr>
    </w:tbl>
    <w:p>
      <w:pPr>
        <w:pStyle w:val="Heading1"/>
      </w:pPr>
      <w:r>
        <w:t>4. HoldCo Board Governance</w:t>
      </w:r>
    </w:p>
    <w:p>
      <w:r>
        <w:t>The Board acts as the strategic alignment and investment-governance layer. It reviews whether opportunities fit the portfolio, whether client demand is credible, whether required capability exists, and whether the next investment stage is justified.</w:t>
      </w:r>
    </w:p>
    <w:p>
      <w:pPr>
        <w:pStyle w:val="ListBullet"/>
      </w:pPr>
      <w:r>
        <w:t>Strategic alignment: map opportunities to relevant national priorities and the client’s stated needs.</w:t>
      </w:r>
    </w:p>
    <w:p>
      <w:pPr>
        <w:pStyle w:val="ListBullet"/>
      </w:pPr>
      <w:r>
        <w:t>Portfolio selection: compare demand, potential value, feasibility, risk, delivery capacity and reusable IP.</w:t>
      </w:r>
    </w:p>
    <w:p>
      <w:pPr>
        <w:pStyle w:val="ListBullet"/>
      </w:pPr>
      <w:r>
        <w:t>Investment governance: authorise discovery, feasibility, pilot and scale stages with explicit decision criteria.</w:t>
      </w:r>
    </w:p>
    <w:p>
      <w:pPr>
        <w:pStyle w:val="ListBullet"/>
      </w:pPr>
      <w:r>
        <w:t>Compliance oversight: identify applicable legal, contractual, security, privacy, procurement and environmental requirements; assign accountable owners.</w:t>
      </w:r>
    </w:p>
    <w:p>
      <w:pPr>
        <w:pStyle w:val="ListBullet"/>
      </w:pPr>
      <w:r>
        <w:t>Risk and dependency oversight: review suppliers, funding, technical maturity, workforce and infrastructure dependencies.</w:t>
      </w:r>
    </w:p>
    <w:p>
      <w:pPr>
        <w:pStyle w:val="ListBullet"/>
      </w:pPr>
      <w:r>
        <w:t>Benefits oversight: require baseline measures, evidence, accountable benefits owners and post-delivery reviews.</w:t>
      </w:r>
    </w:p>
    <w:p>
      <w:pPr>
        <w:pStyle w:val="ListBullet"/>
      </w:pPr>
      <w:r>
        <w:t>IP and commercial governance: define ownership, licensing, reuse rights, client-specific material and disclosure boundaries.</w:t>
      </w:r>
    </w:p>
    <w:p>
      <w:r>
        <w:t>The Board should not approve a technology solely because it is described as QAI or appears aligned with a national policy theme. The proposal must also address a real client need, a credible delivery path and an appropriate business case.</w:t>
      </w:r>
    </w:p>
    <w:p>
      <w:pPr>
        <w:pStyle w:val="Heading1"/>
      </w:pPr>
      <w:r>
        <w:t>5. National and Client Priority Alignment</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color w:val="1F4E79"/>
              </w:rPr>
              <w:t>Priority area</w:t>
            </w:r>
          </w:p>
        </w:tc>
        <w:tc>
          <w:tcPr>
            <w:tcW w:type="dxa" w:w="3312"/>
          </w:tcPr>
          <w:p>
            <w:r>
              <w:rPr>
                <w:b/>
                <w:color w:val="1F4E79"/>
              </w:rPr>
              <w:t>How HoldCo can assess alignment</w:t>
            </w:r>
          </w:p>
        </w:tc>
        <w:tc>
          <w:tcPr>
            <w:tcW w:type="dxa" w:w="3312"/>
          </w:tcPr>
          <w:p>
            <w:r>
              <w:rPr>
                <w:b/>
                <w:color w:val="1F4E79"/>
              </w:rPr>
              <w:t>Evidence examples</w:t>
            </w:r>
          </w:p>
        </w:tc>
      </w:tr>
      <w:tr>
        <w:tc>
          <w:tcPr>
            <w:tcW w:type="dxa" w:w="3312"/>
          </w:tcPr>
          <w:p>
            <w:r>
              <w:t>National interest and sovereignty</w:t>
            </w:r>
          </w:p>
        </w:tc>
        <w:tc>
          <w:tcPr>
            <w:tcW w:type="dxa" w:w="3312"/>
          </w:tcPr>
          <w:p>
            <w:r>
              <w:t>Assess security, resilience, data governance and local capability implications.</w:t>
            </w:r>
          </w:p>
        </w:tc>
        <w:tc>
          <w:tcPr>
            <w:tcW w:type="dxa" w:w="3312"/>
          </w:tcPr>
          <w:p>
            <w:r>
              <w:t>Data-flow maps, access controls, threat/risk assessment, responsibilities and jurisdictional analysis.</w:t>
            </w:r>
          </w:p>
        </w:tc>
      </w:tr>
      <w:tr>
        <w:tc>
          <w:tcPr>
            <w:tcW w:type="dxa" w:w="3312"/>
          </w:tcPr>
          <w:p>
            <w:r>
              <w:t>Energy and sustainability</w:t>
            </w:r>
          </w:p>
        </w:tc>
        <w:tc>
          <w:tcPr>
            <w:tcW w:type="dxa" w:w="3312"/>
          </w:tcPr>
          <w:p>
            <w:r>
              <w:t>Evaluate resource efficiency and environmental impacts where relevant.</w:t>
            </w:r>
          </w:p>
        </w:tc>
        <w:tc>
          <w:tcPr>
            <w:tcW w:type="dxa" w:w="3312"/>
          </w:tcPr>
          <w:p>
            <w:r>
              <w:t>Defined energy baseline, workload measurements, cooling assumptions and resource-use reports.</w:t>
            </w:r>
          </w:p>
        </w:tc>
      </w:tr>
      <w:tr>
        <w:tc>
          <w:tcPr>
            <w:tcW w:type="dxa" w:w="3312"/>
          </w:tcPr>
          <w:p>
            <w:r>
              <w:t>Water and environmental resilience</w:t>
            </w:r>
          </w:p>
        </w:tc>
        <w:tc>
          <w:tcPr>
            <w:tcW w:type="dxa" w:w="3312"/>
          </w:tcPr>
          <w:p>
            <w:r>
              <w:t>Assess facility and workload-related water implications where applicable.</w:t>
            </w:r>
          </w:p>
        </w:tc>
        <w:tc>
          <w:tcPr>
            <w:tcW w:type="dxa" w:w="3312"/>
          </w:tcPr>
          <w:p>
            <w:r>
              <w:t>Water-demand assumptions, cooling design information and site-specific evidence when available.</w:t>
            </w:r>
          </w:p>
        </w:tc>
      </w:tr>
      <w:tr>
        <w:tc>
          <w:tcPr>
            <w:tcW w:type="dxa" w:w="3312"/>
          </w:tcPr>
          <w:p>
            <w:r>
              <w:t>Skills and jobs</w:t>
            </w:r>
          </w:p>
        </w:tc>
        <w:tc>
          <w:tcPr>
            <w:tcW w:type="dxa" w:w="3312"/>
          </w:tcPr>
          <w:p>
            <w:r>
              <w:t>Plan workforce development, training and knowledge transfer.</w:t>
            </w:r>
          </w:p>
        </w:tc>
        <w:tc>
          <w:tcPr>
            <w:tcW w:type="dxa" w:w="3312"/>
          </w:tcPr>
          <w:p>
            <w:r>
              <w:t>Role plan, training modules, participation records and competency assessments.</w:t>
            </w:r>
          </w:p>
        </w:tc>
      </w:tr>
      <w:tr>
        <w:tc>
          <w:tcPr>
            <w:tcW w:type="dxa" w:w="3312"/>
          </w:tcPr>
          <w:p>
            <w:r>
              <w:t>Research and innovation</w:t>
            </w:r>
          </w:p>
        </w:tc>
        <w:tc>
          <w:tcPr>
            <w:tcW w:type="dxa" w:w="3312"/>
          </w:tcPr>
          <w:p>
            <w:r>
              <w:t>Assess whether the work supports credible experimentation and reusable capability.</w:t>
            </w:r>
          </w:p>
        </w:tc>
        <w:tc>
          <w:tcPr>
            <w:tcW w:type="dxa" w:w="3312"/>
          </w:tcPr>
          <w:p>
            <w:r>
              <w:t>Experiment plan, baseline comparisons, reproducible evidence and research collaboration plan.</w:t>
            </w:r>
          </w:p>
        </w:tc>
      </w:tr>
      <w:tr>
        <w:tc>
          <w:tcPr>
            <w:tcW w:type="dxa" w:w="3312"/>
          </w:tcPr>
          <w:p>
            <w:r>
              <w:t>Client business value</w:t>
            </w:r>
          </w:p>
        </w:tc>
        <w:tc>
          <w:tcPr>
            <w:tcW w:type="dxa" w:w="3312"/>
          </w:tcPr>
          <w:p>
            <w:r>
              <w:t>Connect delivery to measurable client outcomes and constraints.</w:t>
            </w:r>
          </w:p>
        </w:tc>
        <w:tc>
          <w:tcPr>
            <w:tcW w:type="dxa" w:w="3312"/>
          </w:tcPr>
          <w:p>
            <w:r>
              <w:t>Business case, acceptance criteria, cost assumptions, customer feedback and benefits review.</w:t>
            </w:r>
          </w:p>
        </w:tc>
      </w:tr>
      <w:tr>
        <w:tc>
          <w:tcPr>
            <w:tcW w:type="dxa" w:w="3312"/>
          </w:tcPr>
          <w:p>
            <w:r>
              <w:t>Compliance and assurance</w:t>
            </w:r>
          </w:p>
        </w:tc>
        <w:tc>
          <w:tcPr>
            <w:tcW w:type="dxa" w:w="3312"/>
          </w:tcPr>
          <w:p>
            <w:r>
              <w:t>Identify obligations applicable to the specific client, jurisdiction and procurement.</w:t>
            </w:r>
          </w:p>
        </w:tc>
        <w:tc>
          <w:tcPr>
            <w:tcW w:type="dxa" w:w="3312"/>
          </w:tcPr>
          <w:p>
            <w:r>
              <w:t>Requirements register, assurance plan, approvals, test results and audit trail.</w:t>
            </w:r>
          </w:p>
        </w:tc>
      </w:tr>
    </w:tbl>
    <w:p>
      <w:r>
        <w:t>This is a proposed alignment method, not a claim that every item is mandatory for every project. Distinguish current law, published expectations, proposed policy, contractual obligations and voluntary design targets.</w:t>
      </w:r>
    </w:p>
    <w:p>
      <w:pPr>
        <w:pStyle w:val="Heading1"/>
      </w:pPr>
      <w:r>
        <w:t>6. Programme and Project Delivery</w:t>
      </w:r>
    </w:p>
    <w:p>
      <w:r>
        <w:t>Managerial methods should be selected proportionately rather than imposed uniformly.</w:t>
      </w:r>
    </w:p>
    <w:tbl>
      <w:tblPr>
        <w:tblStyle w:val="TableGrid"/>
        <w:tblW w:type="auto" w:w="0"/>
        <w:tblLook w:firstColumn="1" w:firstRow="1" w:lastColumn="0" w:lastRow="0" w:noHBand="0" w:noVBand="1" w:val="04A0"/>
      </w:tblPr>
      <w:tblGrid>
        <w:gridCol w:w="4968"/>
        <w:gridCol w:w="4968"/>
      </w:tblGrid>
      <w:tr>
        <w:tc>
          <w:tcPr>
            <w:tcW w:type="dxa" w:w="4968"/>
          </w:tcPr>
          <w:p>
            <w:r>
              <w:rPr>
                <w:b/>
                <w:color w:val="1F4E79"/>
              </w:rPr>
              <w:t>Method</w:t>
            </w:r>
          </w:p>
        </w:tc>
        <w:tc>
          <w:tcPr>
            <w:tcW w:type="dxa" w:w="4968"/>
          </w:tcPr>
          <w:p>
            <w:r>
              <w:rPr>
                <w:b/>
                <w:color w:val="1F4E79"/>
              </w:rPr>
              <w:t>Role in the operating model</w:t>
            </w:r>
          </w:p>
        </w:tc>
      </w:tr>
      <w:tr>
        <w:tc>
          <w:tcPr>
            <w:tcW w:type="dxa" w:w="4968"/>
          </w:tcPr>
          <w:p>
            <w:r>
              <w:t>MSP — Managing Successful Programmes</w:t>
            </w:r>
          </w:p>
        </w:tc>
        <w:tc>
          <w:tcPr>
            <w:tcW w:type="dxa" w:w="4968"/>
          </w:tcPr>
          <w:p>
            <w:r>
              <w:t>Coordinate related projects, programme governance, dependencies, organisational change and benefits realisation.</w:t>
            </w:r>
          </w:p>
        </w:tc>
      </w:tr>
      <w:tr>
        <w:tc>
          <w:tcPr>
            <w:tcW w:type="dxa" w:w="4968"/>
          </w:tcPr>
          <w:p>
            <w:r>
              <w:t>PRINCE2</w:t>
            </w:r>
          </w:p>
        </w:tc>
        <w:tc>
          <w:tcPr>
            <w:tcW w:type="dxa" w:w="4968"/>
          </w:tcPr>
          <w:p>
            <w:r>
              <w:t>Provide project-level business justification, roles, stage control, tolerances, risk and change management.</w:t>
            </w:r>
          </w:p>
        </w:tc>
      </w:tr>
      <w:tr>
        <w:tc>
          <w:tcPr>
            <w:tcW w:type="dxa" w:w="4968"/>
          </w:tcPr>
          <w:p>
            <w:r>
              <w:t>SAFe</w:t>
            </w:r>
          </w:p>
        </w:tc>
        <w:tc>
          <w:tcPr>
            <w:tcW w:type="dxa" w:w="4968"/>
          </w:tcPr>
          <w:p>
            <w:r>
              <w:t>Coordinate multiple Agile teams when scaled planning and integration justify the overhead.</w:t>
            </w:r>
          </w:p>
        </w:tc>
      </w:tr>
      <w:tr>
        <w:tc>
          <w:tcPr>
            <w:tcW w:type="dxa" w:w="4968"/>
          </w:tcPr>
          <w:p>
            <w:r>
              <w:t>Scrum</w:t>
            </w:r>
          </w:p>
        </w:tc>
        <w:tc>
          <w:tcPr>
            <w:tcW w:type="dxa" w:w="4968"/>
          </w:tcPr>
          <w:p>
            <w:r>
              <w:t>Deliver bounded increments, experiments and product features through time-boxed sprints.</w:t>
            </w:r>
          </w:p>
        </w:tc>
      </w:tr>
      <w:tr>
        <w:tc>
          <w:tcPr>
            <w:tcW w:type="dxa" w:w="4968"/>
          </w:tcPr>
          <w:p>
            <w:r>
              <w:t>Systems engineering</w:t>
            </w:r>
          </w:p>
        </w:tc>
        <w:tc>
          <w:tcPr>
            <w:tcW w:type="dxa" w:w="4968"/>
          </w:tcPr>
          <w:p>
            <w:r>
              <w:t>Translate stakeholder needs into system requirements, architecture, interfaces, verification and validation.</w:t>
            </w:r>
          </w:p>
        </w:tc>
      </w:tr>
      <w:tr>
        <w:tc>
          <w:tcPr>
            <w:tcW w:type="dxa" w:w="4968"/>
          </w:tcPr>
          <w:p>
            <w:r>
              <w:t>Software engineering lifecycle</w:t>
            </w:r>
          </w:p>
        </w:tc>
        <w:tc>
          <w:tcPr>
            <w:tcW w:type="dxa" w:w="4968"/>
          </w:tcPr>
          <w:p>
            <w:r>
              <w:t>Govern software requirements, design, development, testing, release, maintenance and retirement.</w:t>
            </w:r>
          </w:p>
        </w:tc>
      </w:tr>
      <w:tr>
        <w:tc>
          <w:tcPr>
            <w:tcW w:type="dxa" w:w="4968"/>
          </w:tcPr>
          <w:p>
            <w:r>
              <w:t>CMMI-oriented service improvement</w:t>
            </w:r>
          </w:p>
        </w:tc>
        <w:tc>
          <w:tcPr>
            <w:tcW w:type="dxa" w:w="4968"/>
          </w:tcPr>
          <w:p>
            <w:r>
              <w:t>Improve repeatability, measurement, service capability and continual improvement; do not imply a formal appraisal without one.</w:t>
            </w:r>
          </w:p>
        </w:tc>
      </w:tr>
      <w:tr>
        <w:tc>
          <w:tcPr>
            <w:tcW w:type="dxa" w:w="4968"/>
          </w:tcPr>
          <w:p>
            <w:r>
              <w:t>IT service management</w:t>
            </w:r>
          </w:p>
        </w:tc>
        <w:tc>
          <w:tcPr>
            <w:tcW w:type="dxa" w:w="4968"/>
          </w:tcPr>
          <w:p>
            <w:r>
              <w:t>Coordinate service requests, incidents, changes, configuration, service levels and operational improvement.</w:t>
            </w:r>
          </w:p>
        </w:tc>
      </w:tr>
    </w:tbl>
    <w:p>
      <w:pPr>
        <w:pStyle w:val="Heading1"/>
      </w:pPr>
      <w:r>
        <w:t>7. Demand-Driven QAI-DCaaS and JIT Provisioning</w:t>
      </w:r>
    </w:p>
    <w:p>
      <w:r>
        <w:t>The QAI service platform enables authorised client users or subsidiaries to request an environment for a defined project, experiment or workload. Resources are assessed and provisioned when needed, then suspended, released or returned to the eligible pool when no longer required.</w:t>
      </w:r>
    </w:p>
    <w:p>
      <w:pPr>
        <w:jc w:val="center"/>
      </w:pPr>
      <w:r>
        <w:rPr>
          <w:b/>
          <w:color w:val="1F4E79"/>
        </w:rPr>
        <w:t>REQUEST → ASSESS → APPROVE → PROVISION → EXPERIMENT → VALIDATE → RELEASE → REUSE</w:t>
      </w:r>
    </w:p>
    <w:p>
      <w:pPr>
        <w:pStyle w:val="ListNumber"/>
      </w:pPr>
      <w:r>
        <w:t>Request: capture project, workload, capabilities, duration, budget, data constraints, priority and acceptance criteria.</w:t>
      </w:r>
    </w:p>
    <w:p>
      <w:pPr>
        <w:pStyle w:val="ListNumber"/>
      </w:pPr>
      <w:r>
        <w:t>Assess: check resource availability, technical compatibility, security, data governance, policy and cost.</w:t>
      </w:r>
    </w:p>
    <w:p>
      <w:pPr>
        <w:pStyle w:val="ListNumber"/>
      </w:pPr>
      <w:r>
        <w:t>Approve: obtain applicable project, technical, financial and service approvals.</w:t>
      </w:r>
    </w:p>
    <w:p>
      <w:pPr>
        <w:pStyle w:val="ListNumber"/>
      </w:pPr>
      <w:r>
        <w:t>Provision: use the existing QAI Deployment Operator to prepare and execute a controlled deployment plan.</w:t>
      </w:r>
    </w:p>
    <w:p>
      <w:pPr>
        <w:pStyle w:val="ListNumber"/>
      </w:pPr>
      <w:r>
        <w:t>Execute: run experiments and project work according to sprint objectives and approved controls.</w:t>
      </w:r>
    </w:p>
    <w:p>
      <w:pPr>
        <w:pStyle w:val="ListNumber"/>
      </w:pPr>
      <w:r>
        <w:t>Record: capture experiment results, approvals, resource use, costs, incidents and validation evidence.</w:t>
      </w:r>
    </w:p>
    <w:p>
      <w:pPr>
        <w:pStyle w:val="ListNumber"/>
      </w:pPr>
      <w:r>
        <w:t>Release: remove or suspend eligible temporary resources and preserve required evidence under retention policy.</w:t>
      </w:r>
    </w:p>
    <w:p>
      <w:pPr>
        <w:pStyle w:val="ListNumber"/>
      </w:pPr>
      <w:r>
        <w:t>Reuse: make eligible resources available for another approved workload.</w:t>
      </w:r>
    </w:p>
    <w:p>
      <w:r>
        <w:t>JIT provisioning can reduce avoidable idle allocations and duplicated environments. It does not automatically eliminate physical data-centre electricity or water consumption: actual benefits depend on equipment power states, shared services, cooling design and facility operations. QPU calibration, cryogenic operation and availability may constrain shutdown or sharing.</w:t>
      </w:r>
    </w:p>
    <w:p>
      <w:pPr>
        <w:pStyle w:val="Heading1"/>
      </w:pPr>
      <w:r>
        <w:t>8. Agriculture Pilot and Post-Pilot Reference Implementation</w:t>
      </w:r>
    </w:p>
    <w:p>
      <w:pPr>
        <w:pStyle w:val="Heading2"/>
      </w:pPr>
      <w:r>
        <w:t>8.1 Pilot use case: water and irrigation optimisation</w:t>
      </w:r>
    </w:p>
    <w:p>
      <w:r>
        <w:t>A farm operator, agricultural business or research partner wants to evaluate whether data-informed optimisation can improve irrigation decisions or resource allocation.</w:t>
      </w:r>
    </w:p>
    <w:p>
      <w:pPr>
        <w:pStyle w:val="ListNumber"/>
      </w:pPr>
      <w:r>
        <w:t>Define the operational problem, available data, constraints and success criteria.</w:t>
      </w:r>
    </w:p>
    <w:p>
      <w:pPr>
        <w:pStyle w:val="ListNumber"/>
      </w:pPr>
      <w:r>
        <w:t>Establish a classical baseline using suitable real or synthetic data, clearly labelling synthetic inputs.</w:t>
      </w:r>
    </w:p>
    <w:p>
      <w:pPr>
        <w:pStyle w:val="ListNumber"/>
      </w:pPr>
      <w:r>
        <w:t>Request a QAI experimentation environment with a defined budget and duration.</w:t>
      </w:r>
    </w:p>
    <w:p>
      <w:pPr>
        <w:pStyle w:val="ListNumber"/>
      </w:pPr>
      <w:r>
        <w:t>Provision virtual resources and simulation tools appropriate to the experiment.</w:t>
      </w:r>
    </w:p>
    <w:p>
      <w:pPr>
        <w:pStyle w:val="ListNumber"/>
      </w:pPr>
      <w:r>
        <w:t>Run baseline and candidate experiments; record performance, costs, assumptions and limitations.</w:t>
      </w:r>
    </w:p>
    <w:p>
      <w:pPr>
        <w:pStyle w:val="ListNumber"/>
      </w:pPr>
      <w:r>
        <w:t>Review results with the client and decide whether to stop, refine or progress to a more realistic pilot.</w:t>
      </w:r>
    </w:p>
    <w:p>
      <w:pPr>
        <w:pStyle w:val="Heading2"/>
      </w:pPr>
      <w:r>
        <w:t>8.2 Post-pilot implementation</w:t>
      </w:r>
    </w:p>
    <w:p>
      <w:pPr>
        <w:pStyle w:val="ListBullet"/>
      </w:pPr>
      <w:r>
        <w:t>Integrate approved real-world farm data, sensors or operational systems.</w:t>
      </w:r>
    </w:p>
    <w:p>
      <w:pPr>
        <w:pStyle w:val="ListBullet"/>
      </w:pPr>
      <w:r>
        <w:t>Enhance digital twins, crop/water models and scheduling workflows where justified.</w:t>
      </w:r>
    </w:p>
    <w:p>
      <w:pPr>
        <w:pStyle w:val="ListBullet"/>
      </w:pPr>
      <w:r>
        <w:t>Develop user interfaces and operational reports for farm managers and technical users.</w:t>
      </w:r>
    </w:p>
    <w:p>
      <w:pPr>
        <w:pStyle w:val="ListBullet"/>
      </w:pPr>
      <w:r>
        <w:t>Introduce controlled deployment, support procedures, training and operational monitoring.</w:t>
      </w:r>
    </w:p>
    <w:p>
      <w:pPr>
        <w:pStyle w:val="ListBullet"/>
      </w:pPr>
      <w:r>
        <w:t>Measure performance against agreed baselines and review the business case before scaling.</w:t>
      </w:r>
    </w:p>
    <w:p>
      <w:r>
        <w:t>A successful simulation is not automatically proof of production readiness. A successful pilot does not automatically establish quantum advantage. Progression depends on evidence, technical readiness, customer demand and the agreed acceptance criteria.</w:t>
      </w:r>
    </w:p>
    <w:p>
      <w:pPr>
        <w:pStyle w:val="Heading1"/>
      </w:pPr>
      <w:r>
        <w:t>9. Reuse Across Domains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color w:val="1F4E79"/>
              </w:rPr>
              <w:t>Domain</w:t>
            </w:r>
          </w:p>
        </w:tc>
        <w:tc>
          <w:tcPr>
            <w:tcW w:type="dxa" w:w="3312"/>
          </w:tcPr>
          <w:p>
            <w:r>
              <w:rPr>
                <w:b/>
                <w:color w:val="1F4E79"/>
              </w:rPr>
              <w:t>Illustrative need</w:t>
            </w:r>
          </w:p>
        </w:tc>
        <w:tc>
          <w:tcPr>
            <w:tcW w:type="dxa" w:w="3312"/>
          </w:tcPr>
          <w:p>
            <w:r>
              <w:rPr>
                <w:b/>
                <w:color w:val="1F4E79"/>
              </w:rPr>
              <w:t>Potential service</w:t>
            </w:r>
          </w:p>
        </w:tc>
      </w:tr>
      <w:tr>
        <w:tc>
          <w:tcPr>
            <w:tcW w:type="dxa" w:w="3312"/>
          </w:tcPr>
          <w:p>
            <w:r>
              <w:t>Agriculture</w:t>
            </w:r>
          </w:p>
        </w:tc>
        <w:tc>
          <w:tcPr>
            <w:tcW w:type="dxa" w:w="3312"/>
          </w:tcPr>
          <w:p>
            <w:r>
              <w:t>Water, crop and resource optimisation.</w:t>
            </w:r>
          </w:p>
        </w:tc>
        <w:tc>
          <w:tcPr>
            <w:tcW w:type="dxa" w:w="3312"/>
          </w:tcPr>
          <w:p>
            <w:r>
              <w:t>Digital Farm, simulation and optimisation experiments.</w:t>
            </w:r>
          </w:p>
        </w:tc>
      </w:tr>
      <w:tr>
        <w:tc>
          <w:tcPr>
            <w:tcW w:type="dxa" w:w="3312"/>
          </w:tcPr>
          <w:p>
            <w:r>
              <w:t>Energy</w:t>
            </w:r>
          </w:p>
        </w:tc>
        <w:tc>
          <w:tcPr>
            <w:tcW w:type="dxa" w:w="3312"/>
          </w:tcPr>
          <w:p>
            <w:r>
              <w:t>Demand forecasting and resource scheduling.</w:t>
            </w:r>
          </w:p>
        </w:tc>
        <w:tc>
          <w:tcPr>
            <w:tcW w:type="dxa" w:w="3312"/>
          </w:tcPr>
          <w:p>
            <w:r>
              <w:t>AI/HPC workload experiments and optimisation.</w:t>
            </w:r>
          </w:p>
        </w:tc>
      </w:tr>
      <w:tr>
        <w:tc>
          <w:tcPr>
            <w:tcW w:type="dxa" w:w="3312"/>
          </w:tcPr>
          <w:p>
            <w:r>
              <w:t>Manufacturing</w:t>
            </w:r>
          </w:p>
        </w:tc>
        <w:tc>
          <w:tcPr>
            <w:tcW w:type="dxa" w:w="3312"/>
          </w:tcPr>
          <w:p>
            <w:r>
              <w:t>Production planning and quality improvement.</w:t>
            </w:r>
          </w:p>
        </w:tc>
        <w:tc>
          <w:tcPr>
            <w:tcW w:type="dxa" w:w="3312"/>
          </w:tcPr>
          <w:p>
            <w:r>
              <w:t>Digital twins, simulation and process optimisation.</w:t>
            </w:r>
          </w:p>
        </w:tc>
      </w:tr>
      <w:tr>
        <w:tc>
          <w:tcPr>
            <w:tcW w:type="dxa" w:w="3312"/>
          </w:tcPr>
          <w:p>
            <w:r>
              <w:t>Logistics</w:t>
            </w:r>
          </w:p>
        </w:tc>
        <w:tc>
          <w:tcPr>
            <w:tcW w:type="dxa" w:w="3312"/>
          </w:tcPr>
          <w:p>
            <w:r>
              <w:t>Routing, scheduling and capacity allocation.</w:t>
            </w:r>
          </w:p>
        </w:tc>
        <w:tc>
          <w:tcPr>
            <w:tcW w:type="dxa" w:w="3312"/>
          </w:tcPr>
          <w:p>
            <w:r>
              <w:t>Optimisation experiments and decision support.</w:t>
            </w:r>
          </w:p>
        </w:tc>
      </w:tr>
      <w:tr>
        <w:tc>
          <w:tcPr>
            <w:tcW w:type="dxa" w:w="3312"/>
          </w:tcPr>
          <w:p>
            <w:r>
              <w:t>Data-centre infrastructure</w:t>
            </w:r>
          </w:p>
        </w:tc>
        <w:tc>
          <w:tcPr>
            <w:tcW w:type="dxa" w:w="3312"/>
          </w:tcPr>
          <w:p>
            <w:r>
              <w:t>Resource allocation and workload efficiency.</w:t>
            </w:r>
          </w:p>
        </w:tc>
        <w:tc>
          <w:tcPr>
            <w:tcW w:type="dxa" w:w="3312"/>
          </w:tcPr>
          <w:p>
            <w:r>
              <w:t>Demand-driven deployment and infrastructure optimisation.</w:t>
            </w:r>
          </w:p>
        </w:tc>
      </w:tr>
      <w:tr>
        <w:tc>
          <w:tcPr>
            <w:tcW w:type="dxa" w:w="3312"/>
          </w:tcPr>
          <w:p>
            <w:r>
              <w:t>Research and education</w:t>
            </w:r>
          </w:p>
        </w:tc>
        <w:tc>
          <w:tcPr>
            <w:tcW w:type="dxa" w:w="3312"/>
          </w:tcPr>
          <w:p>
            <w:r>
              <w:t>Access to emerging technologies.</w:t>
            </w:r>
          </w:p>
        </w:tc>
        <w:tc>
          <w:tcPr>
            <w:tcW w:type="dxa" w:w="3312"/>
          </w:tcPr>
          <w:p>
            <w:r>
              <w:t>QAI Lab as a Service, supervised experiments and training.</w:t>
            </w:r>
          </w:p>
        </w:tc>
      </w:tr>
      <w:tr>
        <w:tc>
          <w:tcPr>
            <w:tcW w:type="dxa" w:w="3312"/>
          </w:tcPr>
          <w:p>
            <w:r>
              <w:t>Public services</w:t>
            </w:r>
          </w:p>
        </w:tc>
        <w:tc>
          <w:tcPr>
            <w:tcW w:type="dxa" w:w="3312"/>
          </w:tcPr>
          <w:p>
            <w:r>
              <w:t>Service planning and resource allocation.</w:t>
            </w:r>
          </w:p>
        </w:tc>
        <w:tc>
          <w:tcPr>
            <w:tcW w:type="dxa" w:w="3312"/>
          </w:tcPr>
          <w:p>
            <w:r>
              <w:t>Governed prototypes, simulation and decision-support services.</w:t>
            </w:r>
          </w:p>
        </w:tc>
      </w:tr>
    </w:tbl>
    <w:p>
      <w:r>
        <w:t>These are prospective use cases. Each requires domain discovery, feasibility, suitable data, customer sponsorship and validation before being represented as an implemented or commercially proven solution.</w:t>
      </w:r>
    </w:p>
    <w:p>
      <w:pPr>
        <w:pStyle w:val="Heading1"/>
      </w:pPr>
      <w:r>
        <w:t>10. Client Product Development and Workforce Enablement</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color w:val="1F4E79"/>
              </w:rPr>
              <w:t>Stage</w:t>
            </w:r>
          </w:p>
        </w:tc>
        <w:tc>
          <w:tcPr>
            <w:tcW w:type="dxa" w:w="3312"/>
          </w:tcPr>
          <w:p>
            <w:r>
              <w:rPr>
                <w:b/>
                <w:color w:val="1F4E79"/>
              </w:rPr>
              <w:t>Client-facing activities</w:t>
            </w:r>
          </w:p>
        </w:tc>
        <w:tc>
          <w:tcPr>
            <w:tcW w:type="dxa" w:w="3312"/>
          </w:tcPr>
          <w:p>
            <w:r>
              <w:rPr>
                <w:b/>
                <w:color w:val="1F4E79"/>
              </w:rPr>
              <w:t>Typical outputs</w:t>
            </w:r>
          </w:p>
        </w:tc>
      </w:tr>
      <w:tr>
        <w:tc>
          <w:tcPr>
            <w:tcW w:type="dxa" w:w="3312"/>
          </w:tcPr>
          <w:p>
            <w:r>
              <w:t>Discover</w:t>
            </w:r>
          </w:p>
        </w:tc>
        <w:tc>
          <w:tcPr>
            <w:tcW w:type="dxa" w:w="3312"/>
          </w:tcPr>
          <w:p>
            <w:r>
              <w:t>Assess problem, systems, capability, risks and commercial objective.</w:t>
            </w:r>
          </w:p>
        </w:tc>
        <w:tc>
          <w:tcPr>
            <w:tcW w:type="dxa" w:w="3312"/>
          </w:tcPr>
          <w:p>
            <w:r>
              <w:t>Opportunity assessment, requirements, baseline and initial business case.</w:t>
            </w:r>
          </w:p>
        </w:tc>
      </w:tr>
      <w:tr>
        <w:tc>
          <w:tcPr>
            <w:tcW w:type="dxa" w:w="3312"/>
          </w:tcPr>
          <w:p>
            <w:r>
              <w:t>Experiment</w:t>
            </w:r>
          </w:p>
        </w:tc>
        <w:tc>
          <w:tcPr>
            <w:tcW w:type="dxa" w:w="3312"/>
          </w:tcPr>
          <w:p>
            <w:r>
              <w:t>Provision a bounded environment; compare candidate methods with a baseline.</w:t>
            </w:r>
          </w:p>
        </w:tc>
        <w:tc>
          <w:tcPr>
            <w:tcW w:type="dxa" w:w="3312"/>
          </w:tcPr>
          <w:p>
            <w:r>
              <w:t>Prototype, experiment report, cost and performance evidence.</w:t>
            </w:r>
          </w:p>
        </w:tc>
      </w:tr>
      <w:tr>
        <w:tc>
          <w:tcPr>
            <w:tcW w:type="dxa" w:w="3312"/>
          </w:tcPr>
          <w:p>
            <w:r>
              <w:t>Develop</w:t>
            </w:r>
          </w:p>
        </w:tc>
        <w:tc>
          <w:tcPr>
            <w:tcW w:type="dxa" w:w="3312"/>
          </w:tcPr>
          <w:p>
            <w:r>
              <w:t>Build or extend the product; integrate data, APIs and enterprise workflows.</w:t>
            </w:r>
          </w:p>
        </w:tc>
        <w:tc>
          <w:tcPr>
            <w:tcW w:type="dxa" w:w="3312"/>
          </w:tcPr>
          <w:p>
            <w:r>
              <w:t>Working increment, test results, technical documentation.</w:t>
            </w:r>
          </w:p>
        </w:tc>
      </w:tr>
      <w:tr>
        <w:tc>
          <w:tcPr>
            <w:tcW w:type="dxa" w:w="3312"/>
          </w:tcPr>
          <w:p>
            <w:r>
              <w:t>Train and transfer</w:t>
            </w:r>
          </w:p>
        </w:tc>
        <w:tc>
          <w:tcPr>
            <w:tcW w:type="dxa" w:w="3312"/>
          </w:tcPr>
          <w:p>
            <w:r>
              <w:t>Train engineers, product owners and users; conduct guided experiments.</w:t>
            </w:r>
          </w:p>
        </w:tc>
        <w:tc>
          <w:tcPr>
            <w:tcW w:type="dxa" w:w="3312"/>
          </w:tcPr>
          <w:p>
            <w:r>
              <w:t>Training material, workshops, competency evidence and operating procedures.</w:t>
            </w:r>
          </w:p>
        </w:tc>
      </w:tr>
      <w:tr>
        <w:tc>
          <w:tcPr>
            <w:tcW w:type="dxa" w:w="3312"/>
          </w:tcPr>
          <w:p>
            <w:r>
              <w:t>Prepare for release</w:t>
            </w:r>
          </w:p>
        </w:tc>
        <w:tc>
          <w:tcPr>
            <w:tcW w:type="dxa" w:w="3312"/>
          </w:tcPr>
          <w:p>
            <w:r>
              <w:t>Verify functionality, security, reliability, support and deployment readiness.</w:t>
            </w:r>
          </w:p>
        </w:tc>
        <w:tc>
          <w:tcPr>
            <w:tcW w:type="dxa" w:w="3312"/>
          </w:tcPr>
          <w:p>
            <w:r>
              <w:t>Acceptance evidence, release plan, user documentation and support model.</w:t>
            </w:r>
          </w:p>
        </w:tc>
      </w:tr>
      <w:tr>
        <w:tc>
          <w:tcPr>
            <w:tcW w:type="dxa" w:w="3312"/>
          </w:tcPr>
          <w:p>
            <w:r>
              <w:t>Improve and scale</w:t>
            </w:r>
          </w:p>
        </w:tc>
        <w:tc>
          <w:tcPr>
            <w:tcW w:type="dxa" w:w="3312"/>
          </w:tcPr>
          <w:p>
            <w:r>
              <w:t>Collect feedback, monitor performance and plan further releases.</w:t>
            </w:r>
          </w:p>
        </w:tc>
        <w:tc>
          <w:tcPr>
            <w:tcW w:type="dxa" w:w="3312"/>
          </w:tcPr>
          <w:p>
            <w:r>
              <w:t>Product roadmap, improvement backlog and stage-gated expansion decision.</w:t>
            </w:r>
          </w:p>
        </w:tc>
      </w:tr>
    </w:tbl>
    <w:p>
      <w:pPr>
        <w:pStyle w:val="Heading1"/>
      </w:pPr>
      <w:r>
        <w:t>11. Commercial Model and Client Value</w:t>
      </w:r>
    </w:p>
    <w:p>
      <w:r>
        <w:t>The commercial proposition is to make QAI adoption more accessible through bounded engagements, reusable engineering assets and progressive investment—not to promise the lowest price in every market or guaranteed returns.</w:t>
      </w:r>
    </w:p>
    <w:p>
      <w:pPr>
        <w:pStyle w:val="ListBullet"/>
      </w:pPr>
      <w:r>
        <w:t>Discovery and feasibility: clarify the problem, readiness, costs, risks and potential value.</w:t>
      </w:r>
    </w:p>
    <w:p>
      <w:pPr>
        <w:pStyle w:val="ListBullet"/>
      </w:pPr>
      <w:r>
        <w:t>Experiment or pilot: provide a bounded, measurable test with explicit assumptions and acceptance criteria.</w:t>
      </w:r>
    </w:p>
    <w:p>
      <w:pPr>
        <w:pStyle w:val="ListBullet"/>
      </w:pPr>
      <w:r>
        <w:t>Product development and integration: develop prototypes, interfaces and product increments.</w:t>
      </w:r>
    </w:p>
    <w:p>
      <w:pPr>
        <w:pStyle w:val="ListBullet"/>
      </w:pPr>
      <w:r>
        <w:t>Training and knowledge transfer: improve client capability and reduce dependence on external specialists over time.</w:t>
      </w:r>
    </w:p>
    <w:p>
      <w:pPr>
        <w:pStyle w:val="ListBullet"/>
      </w:pPr>
      <w:r>
        <w:t>Deployment and service management: support controlled release, monitoring and operational improvement.</w:t>
      </w:r>
    </w:p>
    <w:p>
      <w:pPr>
        <w:pStyle w:val="ListBullet"/>
      </w:pPr>
      <w:r>
        <w:t>Scale and optimisation: expand only when customer demand, evidence, capacity and the business case justify it.</w:t>
      </w:r>
    </w:p>
    <w:p>
      <w:r>
        <w:t>Commercial estimates should separate Bhadale IT fees from third-party infrastructure, equipment, cloud/QPU access, site works, connectivity, assurance and other pass-through costs. State assumptions, exclusions, tax treatment and uncertainty. Do not guarantee ROI, savings or market success.</w:t>
      </w:r>
    </w:p>
    <w:p>
      <w:pPr>
        <w:pStyle w:val="Heading1"/>
      </w:pPr>
      <w:r>
        <w:t>12. Measures of Success</w:t>
      </w:r>
    </w:p>
    <w:tbl>
      <w:tblPr>
        <w:tblStyle w:val="TableGrid"/>
        <w:tblW w:type="auto" w:w="0"/>
        <w:tblLook w:firstColumn="1" w:firstRow="1" w:lastColumn="0" w:lastRow="0" w:noHBand="0" w:noVBand="1" w:val="04A0"/>
      </w:tblPr>
      <w:tblGrid>
        <w:gridCol w:w="4968"/>
        <w:gridCol w:w="4968"/>
      </w:tblGrid>
      <w:tr>
        <w:tc>
          <w:tcPr>
            <w:tcW w:type="dxa" w:w="4968"/>
          </w:tcPr>
          <w:p>
            <w:r>
              <w:rPr>
                <w:b/>
                <w:color w:val="1F4E79"/>
              </w:rPr>
              <w:t>Dimension</w:t>
            </w:r>
          </w:p>
        </w:tc>
        <w:tc>
          <w:tcPr>
            <w:tcW w:type="dxa" w:w="4968"/>
          </w:tcPr>
          <w:p>
            <w:r>
              <w:rPr>
                <w:b/>
                <w:color w:val="1F4E79"/>
              </w:rPr>
              <w:t>Possible indicators</w:t>
            </w:r>
          </w:p>
        </w:tc>
      </w:tr>
      <w:tr>
        <w:tc>
          <w:tcPr>
            <w:tcW w:type="dxa" w:w="4968"/>
          </w:tcPr>
          <w:p>
            <w:r>
              <w:t>Demand and access</w:t>
            </w:r>
          </w:p>
        </w:tc>
        <w:tc>
          <w:tcPr>
            <w:tcW w:type="dxa" w:w="4968"/>
          </w:tcPr>
          <w:p>
            <w:r>
              <w:t>Requests received, approval time, request-to-provisioning time, user adoption.</w:t>
            </w:r>
          </w:p>
        </w:tc>
      </w:tr>
      <w:tr>
        <w:tc>
          <w:tcPr>
            <w:tcW w:type="dxa" w:w="4968"/>
          </w:tcPr>
          <w:p>
            <w:r>
              <w:t>Delivery</w:t>
            </w:r>
          </w:p>
        </w:tc>
        <w:tc>
          <w:tcPr>
            <w:tcW w:type="dxa" w:w="4968"/>
          </w:tcPr>
          <w:p>
            <w:r>
              <w:t>Milestone performance, sprint completion, deployment success, defect and incident trends.</w:t>
            </w:r>
          </w:p>
        </w:tc>
      </w:tr>
      <w:tr>
        <w:tc>
          <w:tcPr>
            <w:tcW w:type="dxa" w:w="4968"/>
          </w:tcPr>
          <w:p>
            <w:r>
              <w:t>Resource efficiency</w:t>
            </w:r>
          </w:p>
        </w:tc>
        <w:tc>
          <w:tcPr>
            <w:tcW w:type="dxa" w:w="4968"/>
          </w:tcPr>
          <w:p>
            <w:r>
              <w:t>Allocated versus used resources, eligible idle time, release rate and reuse across projects.</w:t>
            </w:r>
          </w:p>
        </w:tc>
      </w:tr>
      <w:tr>
        <w:tc>
          <w:tcPr>
            <w:tcW w:type="dxa" w:w="4968"/>
          </w:tcPr>
          <w:p>
            <w:r>
              <w:t>Cost</w:t>
            </w:r>
          </w:p>
        </w:tc>
        <w:tc>
          <w:tcPr>
            <w:tcW w:type="dxa" w:w="4968"/>
          </w:tcPr>
          <w:p>
            <w:r>
              <w:t>Cost per experiment/sprint, forecast versus actual, cost per accepted deliverable.</w:t>
            </w:r>
          </w:p>
        </w:tc>
      </w:tr>
      <w:tr>
        <w:tc>
          <w:tcPr>
            <w:tcW w:type="dxa" w:w="4968"/>
          </w:tcPr>
          <w:p>
            <w:r>
              <w:t>Technical evidence</w:t>
            </w:r>
          </w:p>
        </w:tc>
        <w:tc>
          <w:tcPr>
            <w:tcW w:type="dxa" w:w="4968"/>
          </w:tcPr>
          <w:p>
            <w:r>
              <w:t>Reproducibility, baseline comparison, acceptance-test completion and evidence completeness.</w:t>
            </w:r>
          </w:p>
        </w:tc>
      </w:tr>
      <w:tr>
        <w:tc>
          <w:tcPr>
            <w:tcW w:type="dxa" w:w="4968"/>
          </w:tcPr>
          <w:p>
            <w:r>
              <w:t>Workforce</w:t>
            </w:r>
          </w:p>
        </w:tc>
        <w:tc>
          <w:tcPr>
            <w:tcW w:type="dxa" w:w="4968"/>
          </w:tcPr>
          <w:p>
            <w:r>
              <w:t>Training completion, demonstrated competencies, knowledge transfer and team autonomy.</w:t>
            </w:r>
          </w:p>
        </w:tc>
      </w:tr>
      <w:tr>
        <w:tc>
          <w:tcPr>
            <w:tcW w:type="dxa" w:w="4968"/>
          </w:tcPr>
          <w:p>
            <w:r>
              <w:t>Product and market</w:t>
            </w:r>
          </w:p>
        </w:tc>
        <w:tc>
          <w:tcPr>
            <w:tcW w:type="dxa" w:w="4968"/>
          </w:tcPr>
          <w:p>
            <w:r>
              <w:t>Release readiness, customer acceptance, adoption, feedback and follow-on demand.</w:t>
            </w:r>
          </w:p>
        </w:tc>
      </w:tr>
      <w:tr>
        <w:tc>
          <w:tcPr>
            <w:tcW w:type="dxa" w:w="4968"/>
          </w:tcPr>
          <w:p>
            <w:r>
              <w:t>Benefits</w:t>
            </w:r>
          </w:p>
        </w:tc>
        <w:tc>
          <w:tcPr>
            <w:tcW w:type="dxa" w:w="4968"/>
          </w:tcPr>
          <w:p>
            <w:r>
              <w:t>Outcomes against baseline, benefit-owner assessment and decision to stop, refine or scale.</w:t>
            </w:r>
          </w:p>
        </w:tc>
      </w:tr>
    </w:tbl>
    <w:p>
      <w:r>
        <w:t>Use consistent measurement boundaries. Report modelled results separately from measured results and define who owns each benefit.</w:t>
      </w:r>
    </w:p>
    <w:p>
      <w:pPr>
        <w:pStyle w:val="Heading1"/>
      </w:pPr>
      <w:r>
        <w:t>13. Implementation Roadmap</w:t>
      </w:r>
    </w:p>
    <w:p>
      <w:pPr>
        <w:pStyle w:val="ListNumber"/>
      </w:pPr>
      <w:r>
        <w:t>Establish the operating model: document Board decision rights, opportunity assessment, programme sponsorship and stage gates.</w:t>
      </w:r>
    </w:p>
    <w:p>
      <w:pPr>
        <w:pStyle w:val="ListNumber"/>
      </w:pPr>
      <w:r>
        <w:t>Define reusable templates: national/client alignment matrix, business case, programme roadmap, project brief, work package, risk register and benefits map.</w:t>
      </w:r>
    </w:p>
    <w:p>
      <w:pPr>
        <w:pStyle w:val="ListNumber"/>
      </w:pPr>
      <w:r>
        <w:t>Connect demand to delivery: add project-scoped requests, approvals, budget references and lifecycle evidence to the existing Deployment Operator roadmap.</w:t>
      </w:r>
    </w:p>
    <w:p>
      <w:pPr>
        <w:pStyle w:val="ListNumber"/>
      </w:pPr>
      <w:r>
        <w:t>Demonstrate the agriculture pilot workflow using virtual resources and an explicit classical baseline.</w:t>
      </w:r>
    </w:p>
    <w:p>
      <w:pPr>
        <w:pStyle w:val="ListNumber"/>
      </w:pPr>
      <w:r>
        <w:t>Measure delivery, cost, utilisation and relevant environmental indicators; record limitations and lessons.</w:t>
      </w:r>
    </w:p>
    <w:p>
      <w:pPr>
        <w:pStyle w:val="ListNumber"/>
      </w:pPr>
      <w:r>
        <w:t>Prepare a post-pilot plan only if evidence and client demand justify it.</w:t>
      </w:r>
    </w:p>
    <w:p>
      <w:pPr>
        <w:pStyle w:val="ListNumber"/>
      </w:pPr>
      <w:r>
        <w:t>Reuse the operating pattern for additional domains, tailoring requirements and governance for each client.</w:t>
      </w:r>
    </w:p>
    <w:p>
      <w:pPr>
        <w:pStyle w:val="Heading1"/>
      </w:pPr>
      <w:r>
        <w:t>14. Responsibilities and Decision Rights</w:t>
      </w:r>
    </w:p>
    <w:tbl>
      <w:tblPr>
        <w:tblStyle w:val="TableGrid"/>
        <w:tblW w:type="auto" w:w="0"/>
        <w:tblLook w:firstColumn="1" w:firstRow="1" w:lastColumn="0" w:lastRow="0" w:noHBand="0" w:noVBand="1" w:val="04A0"/>
      </w:tblPr>
      <w:tblGrid>
        <w:gridCol w:w="4968"/>
        <w:gridCol w:w="4968"/>
      </w:tblGrid>
      <w:tr>
        <w:tc>
          <w:tcPr>
            <w:tcW w:type="dxa" w:w="4968"/>
          </w:tcPr>
          <w:p>
            <w:r>
              <w:rPr>
                <w:b/>
                <w:color w:val="1F4E79"/>
              </w:rPr>
              <w:t>Role</w:t>
            </w:r>
          </w:p>
        </w:tc>
        <w:tc>
          <w:tcPr>
            <w:tcW w:type="dxa" w:w="4968"/>
          </w:tcPr>
          <w:p>
            <w:r>
              <w:rPr>
                <w:b/>
                <w:color w:val="1F4E79"/>
              </w:rPr>
              <w:t>Core responsibility</w:t>
            </w:r>
          </w:p>
        </w:tc>
      </w:tr>
      <w:tr>
        <w:tc>
          <w:tcPr>
            <w:tcW w:type="dxa" w:w="4968"/>
          </w:tcPr>
          <w:p>
            <w:r>
              <w:t>HoldCo Board / investment governance</w:t>
            </w:r>
          </w:p>
        </w:tc>
        <w:tc>
          <w:tcPr>
            <w:tcW w:type="dxa" w:w="4968"/>
          </w:tcPr>
          <w:p>
            <w:r>
              <w:t>Portfolio priorities, strategic alignment, investment stages, major risks and benefits oversight.</w:t>
            </w:r>
          </w:p>
        </w:tc>
      </w:tr>
      <w:tr>
        <w:tc>
          <w:tcPr>
            <w:tcW w:type="dxa" w:w="4968"/>
          </w:tcPr>
          <w:p>
            <w:r>
              <w:t>Client sponsor / product owner</w:t>
            </w:r>
          </w:p>
        </w:tc>
        <w:tc>
          <w:tcPr>
            <w:tcW w:type="dxa" w:w="4968"/>
          </w:tcPr>
          <w:p>
            <w:r>
              <w:t>Business need, user priorities, budget sponsorship and acceptance of outcomes.</w:t>
            </w:r>
          </w:p>
        </w:tc>
      </w:tr>
      <w:tr>
        <w:tc>
          <w:tcPr>
            <w:tcW w:type="dxa" w:w="4968"/>
          </w:tcPr>
          <w:p>
            <w:r>
              <w:t>Programme manager</w:t>
            </w:r>
          </w:p>
        </w:tc>
        <w:tc>
          <w:tcPr>
            <w:tcW w:type="dxa" w:w="4968"/>
          </w:tcPr>
          <w:p>
            <w:r>
              <w:t>Programme roadmap, dependencies, cross-project risks and benefits.</w:t>
            </w:r>
          </w:p>
        </w:tc>
      </w:tr>
      <w:tr>
        <w:tc>
          <w:tcPr>
            <w:tcW w:type="dxa" w:w="4968"/>
          </w:tcPr>
          <w:p>
            <w:r>
              <w:t>Project manager</w:t>
            </w:r>
          </w:p>
        </w:tc>
        <w:tc>
          <w:tcPr>
            <w:tcW w:type="dxa" w:w="4968"/>
          </w:tcPr>
          <w:p>
            <w:r>
              <w:t>Scope, schedule, budget, work packages, risks, changes and acceptance.</w:t>
            </w:r>
          </w:p>
        </w:tc>
      </w:tr>
      <w:tr>
        <w:tc>
          <w:tcPr>
            <w:tcW w:type="dxa" w:w="4968"/>
          </w:tcPr>
          <w:p>
            <w:r>
              <w:t>Engineering lead</w:t>
            </w:r>
          </w:p>
        </w:tc>
        <w:tc>
          <w:tcPr>
            <w:tcW w:type="dxa" w:w="4968"/>
          </w:tcPr>
          <w:p>
            <w:r>
              <w:t>Technical requirements, design integrity, integration, verification and validation.</w:t>
            </w:r>
          </w:p>
        </w:tc>
      </w:tr>
      <w:tr>
        <w:tc>
          <w:tcPr>
            <w:tcW w:type="dxa" w:w="4968"/>
          </w:tcPr>
          <w:p>
            <w:r>
              <w:t>QAI service/platform owner</w:t>
            </w:r>
          </w:p>
        </w:tc>
        <w:tc>
          <w:tcPr>
            <w:tcW w:type="dxa" w:w="4968"/>
          </w:tcPr>
          <w:p>
            <w:r>
              <w:t>Service catalogue, request handling, resource lifecycle, operational metrics and service improvement.</w:t>
            </w:r>
          </w:p>
        </w:tc>
      </w:tr>
      <w:tr>
        <w:tc>
          <w:tcPr>
            <w:tcW w:type="dxa" w:w="4968"/>
          </w:tcPr>
          <w:p>
            <w:r>
              <w:t>Finance/commercial lead</w:t>
            </w:r>
          </w:p>
        </w:tc>
        <w:tc>
          <w:tcPr>
            <w:tcW w:type="dxa" w:w="4968"/>
          </w:tcPr>
          <w:p>
            <w:r>
              <w:t>Cost assumptions, budget controls, procurement, commercial terms and financial reporting.</w:t>
            </w:r>
          </w:p>
        </w:tc>
      </w:tr>
      <w:tr>
        <w:tc>
          <w:tcPr>
            <w:tcW w:type="dxa" w:w="4968"/>
          </w:tcPr>
          <w:p>
            <w:r>
              <w:t>Compliance/security owner</w:t>
            </w:r>
          </w:p>
        </w:tc>
        <w:tc>
          <w:tcPr>
            <w:tcW w:type="dxa" w:w="4968"/>
          </w:tcPr>
          <w:p>
            <w:r>
              <w:t>Applicable obligations, controls, evidence and escalation.</w:t>
            </w:r>
          </w:p>
        </w:tc>
      </w:tr>
      <w:tr>
        <w:tc>
          <w:tcPr>
            <w:tcW w:type="dxa" w:w="4968"/>
          </w:tcPr>
          <w:p>
            <w:r>
              <w:t>Client users and domain experts</w:t>
            </w:r>
          </w:p>
        </w:tc>
        <w:tc>
          <w:tcPr>
            <w:tcW w:type="dxa" w:w="4968"/>
          </w:tcPr>
          <w:p>
            <w:r>
              <w:t>Domain knowledge, experiment participation, feedback and operational adoption.</w:t>
            </w:r>
          </w:p>
        </w:tc>
      </w:tr>
    </w:tbl>
    <w:p>
      <w:pPr>
        <w:pStyle w:val="Heading1"/>
      </w:pPr>
      <w:r>
        <w:t>15. Governance Safeguards</w:t>
      </w:r>
    </w:p>
    <w:p>
      <w:pPr>
        <w:pStyle w:val="ListBullet"/>
      </w:pPr>
      <w:r>
        <w:t>Do not treat national policy alignment as automatic eligibility for funding, procurement or regulatory approval.</w:t>
      </w:r>
    </w:p>
    <w:p>
      <w:pPr>
        <w:pStyle w:val="ListBullet"/>
      </w:pPr>
      <w:r>
        <w:t>Confirm applicable Australian and client-specific requirements for each opportunity.</w:t>
      </w:r>
    </w:p>
    <w:p>
      <w:pPr>
        <w:pStyle w:val="ListBullet"/>
      </w:pPr>
      <w:r>
        <w:t>Preserve client data boundaries, access controls, IP ownership and licensing terms.</w:t>
      </w:r>
    </w:p>
    <w:p>
      <w:pPr>
        <w:pStyle w:val="ListBullet"/>
      </w:pPr>
      <w:r>
        <w:t>Separate estimates, budgets, commitments, actual costs and forecasts.</w:t>
      </w:r>
    </w:p>
    <w:p>
      <w:pPr>
        <w:pStyle w:val="ListBullet"/>
      </w:pPr>
      <w:r>
        <w:t>Require approval before expensive, sensitive or irreversible deployment actions.</w:t>
      </w:r>
    </w:p>
    <w:p>
      <w:pPr>
        <w:pStyle w:val="ListBullet"/>
      </w:pPr>
      <w:r>
        <w:t>Maintain reproducible evidence and preserve records according to agreed retention rules.</w:t>
      </w:r>
    </w:p>
    <w:p>
      <w:pPr>
        <w:pStyle w:val="ListBullet"/>
      </w:pPr>
      <w:r>
        <w:t>Make stop, rework, hold and scale decisions explicit at agreed gates.</w:t>
      </w:r>
    </w:p>
    <w:p>
      <w:pPr>
        <w:pStyle w:val="ListBullet"/>
      </w:pPr>
      <w:r>
        <w:t>Describe capabilities accurately; distinguish concepts, prototypes, pilots and production services.</w:t>
      </w:r>
    </w:p>
    <w:p>
      <w:pPr>
        <w:pStyle w:val="Heading1"/>
      </w:pPr>
      <w:r>
        <w:t>16. Suggested Positioning Statement</w:t>
      </w:r>
    </w:p>
    <w:p>
      <w:pPr>
        <w:ind w:left="360" w:right="360"/>
      </w:pPr>
      <w:r>
        <w:rPr>
          <w:i/>
        </w:rPr>
        <w:t>Bhadale IT helps organisations explore and adopt QAI technologies through affordable, demand-driven infrastructure, governed programmes and reusable engineering services. We align relevant national and client priorities with practical programmes and projects, provision resources when needed, and support clients from initial experimentation through product development, staff training, validation and market release. Our approach focuses on cost-effective adoption, measurable outcomes and progressive investment. Clients can start with a bounded experiment or pilot, learn from the results and expand only when the technical and business case justifies it.</w:t>
      </w:r>
    </w:p>
    <w:p>
      <w:pPr>
        <w:pStyle w:val="Heading1"/>
      </w:pPr>
      <w:r>
        <w:t>17. References and Context</w:t>
      </w:r>
    </w:p>
    <w:p>
      <w:r>
        <w:t>Australian Government — Expectations of data centres and AI infrastructure developers:</w:t>
      </w:r>
    </w:p>
    <w:p>
      <w:r>
        <w:t>https://www.industry.gov.au/publications/expectations-data-centres-and-ai-infrastructure-developers</w:t>
      </w:r>
    </w:p>
    <w:p>
      <w:r>
        <w:t>Australian Government — Getting it right: Building AI infrastructure that works for Australia (September 2026 consultation paper):</w:t>
      </w:r>
    </w:p>
    <w:p>
      <w:r>
        <w:t>https://www.pmc.gov.au/resources/getting-it-right-building-ai-infrastructure-works-australia</w:t>
      </w:r>
    </w:p>
    <w:p>
      <w:r>
        <w:t>Australian Government Department of Finance — Assurance Reviews and Risk Assessment:</w:t>
      </w:r>
    </w:p>
    <w:p>
      <w:r>
        <w:t>https://www.finance.gov.au/government/assurance-reviews-and-risk-assessment/assurance-reviews-process-overview</w:t>
      </w:r>
    </w:p>
    <w:p>
      <w:r>
        <w:t>These references provide context for alignment and assurance planning. Verify current policy status, procurement conditions and project applicability before formal submission.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HoldCo QAI Innovation-to-Market Operating Model • 20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BHADALE IT  |  HOLDCO QAI INNOVATION-TO-MARKET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