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BHADALE IT</w:t>
        <w:br/>
        <w:t>QAI COMMERCIAL, INVESTOR &amp; BID STRATEGY</w:t>
      </w:r>
    </w:p>
    <w:p>
      <w:pPr>
        <w:jc w:val="center"/>
      </w:pPr>
      <w:r>
        <w:rPr>
          <w:i/>
        </w:rPr>
        <w:t>From Reusable QAI Assets to Client Demonstration, Investment Milestones and Procurement Readiness</w:t>
      </w:r>
    </w:p>
    <w:p>
      <w:pPr>
        <w:jc w:val="center"/>
      </w:pPr>
      <w:r>
        <w:rPr>
          <w:b/>
        </w:rPr>
        <w:t>Working strategy • 5 October 2026</w:t>
      </w:r>
    </w:p>
    <w:p>
      <w:pPr>
        <w:pStyle w:val="Heading1"/>
      </w:pPr>
      <w:r>
        <w:t>1. Executive Position</w:t>
      </w:r>
    </w:p>
    <w:p>
      <w:r>
        <w:t>Bhadale IT can use its QAI Lab, QAI Asset Fabric and existing QAI research, frameworks, reference implementations and pilot assets as a common foundation for three related purposes: client demonstration, investor engagement and procurement/bid responses.</w:t>
      </w:r>
    </w:p>
    <w:p>
      <w:r>
        <w:t>The strategy is to demonstrate a credible progression from existing reusable assets to a working client experimentation environment, and from that environment to evidence-supported product and service roadmaps. Future QAI products should be presented according to their actual maturity rather than as already-developed production capabilities.</w:t>
      </w:r>
    </w:p>
    <w:p>
      <w:pPr>
        <w:pStyle w:val="Heading1"/>
      </w:pPr>
      <w:r>
        <w:t>2. Reference Users and Demonstration Environment</w:t>
      </w:r>
    </w:p>
    <w:p>
      <w:r>
        <w:t>FAEP Academy and FAEP Client are proposed as the first users/reference environments for demonstrating the utility of the QAI technology model. They can demonstrate how SaaS, PaaS, IaaS and QAI Lab as a Service capabilities can be assembled and used in practical workflows.</w:t>
      </w:r>
    </w:p>
    <w:p>
      <w:r>
        <w:t>Their exact commercial status must be stated accurately. Unless independently contracted commercial relationships exist, they should be described as reference users, internal demonstrations or proposed demonstration environments rather than implying external customer contracts.</w:t>
      </w:r>
    </w:p>
    <w:p>
      <w:pPr>
        <w:pStyle w:val="ListBullet"/>
      </w:pPr>
      <w:r>
        <w:t>Demonstrate the QAI Asset Fabric and reusable capabilities.</w:t>
      </w:r>
    </w:p>
    <w:p>
      <w:pPr>
        <w:pStyle w:val="ListBullet"/>
      </w:pPr>
      <w:r>
        <w:t>Show how cloud and enterprise library capabilities can be composed.</w:t>
      </w:r>
    </w:p>
    <w:p>
      <w:pPr>
        <w:pStyle w:val="ListBullet"/>
      </w:pPr>
      <w:r>
        <w:t>Demonstrate QAI Lab as a Service and Co-Design.</w:t>
      </w:r>
    </w:p>
    <w:p>
      <w:pPr>
        <w:pStyle w:val="ListBullet"/>
      </w:pPr>
      <w:r>
        <w:t>Translate a problem into an experiment and technical workflow.</w:t>
      </w:r>
    </w:p>
    <w:p>
      <w:pPr>
        <w:pStyle w:val="ListBullet"/>
      </w:pPr>
      <w:r>
        <w:t>Capture evidence and demonstrate decision support.</w:t>
      </w:r>
    </w:p>
    <w:p>
      <w:pPr>
        <w:pStyle w:val="ListBullet"/>
      </w:pPr>
      <w:r>
        <w:t>Show how experiments can produce product, service, modernization, research or capacity-development roadmaps.</w:t>
      </w:r>
    </w:p>
    <w:p>
      <w:pPr>
        <w:pStyle w:val="Heading1"/>
      </w:pPr>
      <w:r>
        <w:t>3. Target Commercial Architecture</w:t>
      </w:r>
    </w:p>
    <w:p>
      <w:r>
        <w:t>QAI Lab as a Service is positioned above conventional SaaS, PaaS and IaaS consumption. It does not replace those models. Instead, it provides a higher-level environment for co-design, experimentation, asset reuse, evidence capture and engineering decision support.</w:t>
      </w:r>
    </w:p>
    <w:p>
      <w:r>
        <w:t>The QAI Asset Fabric provides the reusable foundation. Its registry can contain General Framework and General Factory components, reference implementations, IDE/workspace components, tools, bootstrap scripts, templates, notebooks, Resource Fabrics, Control Planes, Virtual Assets, enterprise libraries, domain assets, APIs and interfaces.</w:t>
      </w:r>
    </w:p>
    <w:p>
      <w:r>
        <w:t>The initial Asset Fabric can be a curated registry. Dynamic discovery and automatic update synchronization are future capabilities rather than current-scope requirements.</w:t>
      </w:r>
    </w:p>
    <w:p>
      <w:pPr>
        <w:pStyle w:val="Heading1"/>
      </w:pPr>
      <w:r>
        <w:t>4. QAI Lab as a Service</w:t>
      </w:r>
    </w:p>
    <w:p>
      <w:r>
        <w:t>QAI Lab as a Service can become a flagship offer for organizations with different industries, roles, engineering backgrounds and technology needs. It can operate in cloud, private enterprise, hybrid or air-gapped environments.</w:t>
      </w:r>
    </w:p>
    <w:tbl>
      <w:tblPr>
        <w:tblStyle w:val="TableGrid"/>
        <w:tblW w:type="auto" w:w="0"/>
        <w:tblLook w:firstColumn="1" w:firstRow="1" w:lastColumn="0" w:lastRow="0" w:noHBand="0" w:noVBand="1" w:val="04A0"/>
      </w:tblPr>
      <w:tblGrid>
        <w:gridCol w:w="3312"/>
        <w:gridCol w:w="3312"/>
        <w:gridCol w:w="3312"/>
      </w:tblGrid>
      <w:tr>
        <w:tc>
          <w:tcPr>
            <w:tcW w:type="dxa" w:w="3312"/>
          </w:tcPr>
          <w:p>
            <w:r>
              <w:t>Deployment model</w:t>
            </w:r>
          </w:p>
        </w:tc>
        <w:tc>
          <w:tcPr>
            <w:tcW w:type="dxa" w:w="3312"/>
          </w:tcPr>
          <w:p>
            <w:r>
              <w:t>Library/resource model</w:t>
            </w:r>
          </w:p>
        </w:tc>
        <w:tc>
          <w:tcPr>
            <w:tcW w:type="dxa" w:w="3312"/>
          </w:tcPr>
          <w:p>
            <w:r>
              <w:t>Potential use</w:t>
            </w:r>
          </w:p>
        </w:tc>
      </w:tr>
      <w:tr>
        <w:tc>
          <w:tcPr>
            <w:tcW w:type="dxa" w:w="3312"/>
          </w:tcPr>
          <w:p>
            <w:r>
              <w:t>Cloud</w:t>
            </w:r>
          </w:p>
        </w:tc>
        <w:tc>
          <w:tcPr>
            <w:tcW w:type="dxa" w:w="3312"/>
          </w:tcPr>
          <w:p>
            <w:r>
              <w:t>Cloud-hosted QAI and enterprise libraries</w:t>
            </w:r>
          </w:p>
        </w:tc>
        <w:tc>
          <w:tcPr>
            <w:tcW w:type="dxa" w:w="3312"/>
          </w:tcPr>
          <w:p>
            <w:r>
              <w:t>Managed experimentation and co-design</w:t>
            </w:r>
          </w:p>
        </w:tc>
      </w:tr>
      <w:tr>
        <w:tc>
          <w:tcPr>
            <w:tcW w:type="dxa" w:w="3312"/>
          </w:tcPr>
          <w:p>
            <w:r>
              <w:t>Enterprise</w:t>
            </w:r>
          </w:p>
        </w:tc>
        <w:tc>
          <w:tcPr>
            <w:tcW w:type="dxa" w:w="3312"/>
          </w:tcPr>
          <w:p>
            <w:r>
              <w:t>Private enterprise libraries and infrastructure</w:t>
            </w:r>
          </w:p>
        </w:tc>
        <w:tc>
          <w:tcPr>
            <w:tcW w:type="dxa" w:w="3312"/>
          </w:tcPr>
          <w:p>
            <w:r>
              <w:t>Controlled internal innovation</w:t>
            </w:r>
          </w:p>
        </w:tc>
      </w:tr>
      <w:tr>
        <w:tc>
          <w:tcPr>
            <w:tcW w:type="dxa" w:w="3312"/>
          </w:tcPr>
          <w:p>
            <w:r>
              <w:t>Hybrid</w:t>
            </w:r>
          </w:p>
        </w:tc>
        <w:tc>
          <w:tcPr>
            <w:tcW w:type="dxa" w:w="3312"/>
          </w:tcPr>
          <w:p>
            <w:r>
              <w:t>Cloud and private libraries</w:t>
            </w:r>
          </w:p>
        </w:tc>
        <w:tc>
          <w:tcPr>
            <w:tcW w:type="dxa" w:w="3312"/>
          </w:tcPr>
          <w:p>
            <w:r>
              <w:t>Selective composition of cloud and enterprise resources</w:t>
            </w:r>
          </w:p>
        </w:tc>
      </w:tr>
      <w:tr>
        <w:tc>
          <w:tcPr>
            <w:tcW w:type="dxa" w:w="3312"/>
          </w:tcPr>
          <w:p>
            <w:r>
              <w:t>Air-gapped</w:t>
            </w:r>
          </w:p>
        </w:tc>
        <w:tc>
          <w:tcPr>
            <w:tcW w:type="dxa" w:w="3312"/>
          </w:tcPr>
          <w:p>
            <w:r>
              <w:t>Local controlled library with limited connectivity</w:t>
            </w:r>
          </w:p>
        </w:tc>
        <w:tc>
          <w:tcPr>
            <w:tcW w:type="dxa" w:w="3312"/>
          </w:tcPr>
          <w:p>
            <w:r>
              <w:t>Sensitive or isolated experimentation</w:t>
            </w:r>
          </w:p>
        </w:tc>
      </w:tr>
    </w:tbl>
    <w:p>
      <w:pPr>
        <w:pStyle w:val="Heading1"/>
      </w:pPr>
      <w:r>
        <w:t>5. Client Value Model</w:t>
      </w:r>
    </w:p>
    <w:p>
      <w:r>
        <w:t>The client does not need to begin with a predetermined technology choice. The QAI Lab supports a progression from problem definition to track selection, co-design, experiment, evidence, decision and roadmap.</w:t>
      </w:r>
    </w:p>
    <w:p>
      <w:r>
        <w:t>Clients may use one track or a hybrid combination of Quantum Computing, Quantum Communication, Software Engineering, Systems Engineering and Domain capabilities.</w:t>
      </w:r>
    </w:p>
    <w:p>
      <w:r>
        <w:t>The intended value is to help clients determine what technology and engineering approach is appropriate before committing to a larger implementation program.</w:t>
      </w:r>
    </w:p>
    <w:p>
      <w:pPr>
        <w:pStyle w:val="Heading1"/>
      </w:pPr>
      <w:r>
        <w:t>6. Demonstration-to-Product Roadmap</w:t>
      </w:r>
    </w:p>
    <w:tbl>
      <w:tblPr>
        <w:tblStyle w:val="TableGrid"/>
        <w:tblW w:type="auto" w:w="0"/>
        <w:tblLook w:firstColumn="1" w:firstRow="1" w:lastColumn="0" w:lastRow="0" w:noHBand="0" w:noVBand="1" w:val="04A0"/>
      </w:tblPr>
      <w:tblGrid>
        <w:gridCol w:w="3312"/>
        <w:gridCol w:w="3312"/>
        <w:gridCol w:w="3312"/>
      </w:tblGrid>
      <w:tr>
        <w:tc>
          <w:tcPr>
            <w:tcW w:type="dxa" w:w="3312"/>
          </w:tcPr>
          <w:p>
            <w:r>
              <w:t>Stage</w:t>
            </w:r>
          </w:p>
        </w:tc>
        <w:tc>
          <w:tcPr>
            <w:tcW w:type="dxa" w:w="3312"/>
          </w:tcPr>
          <w:p>
            <w:r>
              <w:t>Asset development</w:t>
            </w:r>
          </w:p>
        </w:tc>
        <w:tc>
          <w:tcPr>
            <w:tcW w:type="dxa" w:w="3312"/>
          </w:tcPr>
          <w:p>
            <w:r>
              <w:t>Demonstrable outcome</w:t>
            </w:r>
          </w:p>
        </w:tc>
      </w:tr>
      <w:tr>
        <w:tc>
          <w:tcPr>
            <w:tcW w:type="dxa" w:w="3312"/>
          </w:tcPr>
          <w:p>
            <w:r>
              <w:t>1</w:t>
            </w:r>
          </w:p>
        </w:tc>
        <w:tc>
          <w:tcPr>
            <w:tcW w:type="dxa" w:w="3312"/>
          </w:tcPr>
          <w:p>
            <w:r>
              <w:t>QAI Asset Fabric registry</w:t>
            </w:r>
          </w:p>
        </w:tc>
        <w:tc>
          <w:tcPr>
            <w:tcW w:type="dxa" w:w="3312"/>
          </w:tcPr>
          <w:p>
            <w:r>
              <w:t>Discoverable inventory of reusable assets</w:t>
            </w:r>
          </w:p>
        </w:tc>
      </w:tr>
      <w:tr>
        <w:tc>
          <w:tcPr>
            <w:tcW w:type="dxa" w:w="3312"/>
          </w:tcPr>
          <w:p>
            <w:r>
              <w:t>2</w:t>
            </w:r>
          </w:p>
        </w:tc>
        <w:tc>
          <w:tcPr>
            <w:tcW w:type="dxa" w:w="3312"/>
          </w:tcPr>
          <w:p>
            <w:r>
              <w:t>API/interface layer</w:t>
            </w:r>
          </w:p>
        </w:tc>
        <w:tc>
          <w:tcPr>
            <w:tcW w:type="dxa" w:w="3312"/>
          </w:tcPr>
          <w:p>
            <w:r>
              <w:t>Reusable assets can be composed through defined contracts</w:t>
            </w:r>
          </w:p>
        </w:tc>
      </w:tr>
      <w:tr>
        <w:tc>
          <w:tcPr>
            <w:tcW w:type="dxa" w:w="3312"/>
          </w:tcPr>
          <w:p>
            <w:r>
              <w:t>3</w:t>
            </w:r>
          </w:p>
        </w:tc>
        <w:tc>
          <w:tcPr>
            <w:tcW w:type="dxa" w:w="3312"/>
          </w:tcPr>
          <w:p>
            <w:r>
              <w:t>QAI Lab as a Service foundation</w:t>
            </w:r>
          </w:p>
        </w:tc>
        <w:tc>
          <w:tcPr>
            <w:tcW w:type="dxa" w:w="3312"/>
          </w:tcPr>
          <w:p>
            <w:r>
              <w:t>Client experimentation and co-design environment</w:t>
            </w:r>
          </w:p>
        </w:tc>
      </w:tr>
      <w:tr>
        <w:tc>
          <w:tcPr>
            <w:tcW w:type="dxa" w:w="3312"/>
          </w:tcPr>
          <w:p>
            <w:r>
              <w:t>4</w:t>
            </w:r>
          </w:p>
        </w:tc>
        <w:tc>
          <w:tcPr>
            <w:tcW w:type="dxa" w:w="3312"/>
          </w:tcPr>
          <w:p>
            <w:r>
              <w:t>Co-Design workflows</w:t>
            </w:r>
          </w:p>
        </w:tc>
        <w:tc>
          <w:tcPr>
            <w:tcW w:type="dxa" w:w="3312"/>
          </w:tcPr>
          <w:p>
            <w:r>
              <w:t>Problem-to-experiment workflow</w:t>
            </w:r>
          </w:p>
        </w:tc>
      </w:tr>
      <w:tr>
        <w:tc>
          <w:tcPr>
            <w:tcW w:type="dxa" w:w="3312"/>
          </w:tcPr>
          <w:p>
            <w:r>
              <w:t>5</w:t>
            </w:r>
          </w:p>
        </w:tc>
        <w:tc>
          <w:tcPr>
            <w:tcW w:type="dxa" w:w="3312"/>
          </w:tcPr>
          <w:p>
            <w:r>
              <w:t>FAEP Academy demonstration</w:t>
            </w:r>
          </w:p>
        </w:tc>
        <w:tc>
          <w:tcPr>
            <w:tcW w:type="dxa" w:w="3312"/>
          </w:tcPr>
          <w:p>
            <w:r>
              <w:t>Education/training and technology demonstration use case</w:t>
            </w:r>
          </w:p>
        </w:tc>
      </w:tr>
      <w:tr>
        <w:tc>
          <w:tcPr>
            <w:tcW w:type="dxa" w:w="3312"/>
          </w:tcPr>
          <w:p>
            <w:r>
              <w:t>6</w:t>
            </w:r>
          </w:p>
        </w:tc>
        <w:tc>
          <w:tcPr>
            <w:tcW w:type="dxa" w:w="3312"/>
          </w:tcPr>
          <w:p>
            <w:r>
              <w:t>FAEP Client demonstration</w:t>
            </w:r>
          </w:p>
        </w:tc>
        <w:tc>
          <w:tcPr>
            <w:tcW w:type="dxa" w:w="3312"/>
          </w:tcPr>
          <w:p>
            <w:r>
              <w:t>Client/domain-oriented use case</w:t>
            </w:r>
          </w:p>
        </w:tc>
      </w:tr>
      <w:tr>
        <w:tc>
          <w:tcPr>
            <w:tcW w:type="dxa" w:w="3312"/>
          </w:tcPr>
          <w:p>
            <w:r>
              <w:t>7</w:t>
            </w:r>
          </w:p>
        </w:tc>
        <w:tc>
          <w:tcPr>
            <w:tcW w:type="dxa" w:w="3312"/>
          </w:tcPr>
          <w:p>
            <w:r>
              <w:t>Multi-track experiments</w:t>
            </w:r>
          </w:p>
        </w:tc>
        <w:tc>
          <w:tcPr>
            <w:tcW w:type="dxa" w:w="3312"/>
          </w:tcPr>
          <w:p>
            <w:r>
              <w:t>Quantum, communication, software, systems and domain combinations</w:t>
            </w:r>
          </w:p>
        </w:tc>
      </w:tr>
      <w:tr>
        <w:tc>
          <w:tcPr>
            <w:tcW w:type="dxa" w:w="3312"/>
          </w:tcPr>
          <w:p>
            <w:r>
              <w:t>8</w:t>
            </w:r>
          </w:p>
        </w:tc>
        <w:tc>
          <w:tcPr>
            <w:tcW w:type="dxa" w:w="3312"/>
          </w:tcPr>
          <w:p>
            <w:r>
              <w:t>Evidence and decision framework</w:t>
            </w:r>
          </w:p>
        </w:tc>
        <w:tc>
          <w:tcPr>
            <w:tcW w:type="dxa" w:w="3312"/>
          </w:tcPr>
          <w:p>
            <w:r>
              <w:t>Technology selection, trade-off analysis and roadmap</w:t>
            </w:r>
          </w:p>
        </w:tc>
      </w:tr>
      <w:tr>
        <w:tc>
          <w:tcPr>
            <w:tcW w:type="dxa" w:w="3312"/>
          </w:tcPr>
          <w:p>
            <w:r>
              <w:t>9</w:t>
            </w:r>
          </w:p>
        </w:tc>
        <w:tc>
          <w:tcPr>
            <w:tcW w:type="dxa" w:w="3312"/>
          </w:tcPr>
          <w:p>
            <w:r>
              <w:t>Productization</w:t>
            </w:r>
          </w:p>
        </w:tc>
        <w:tc>
          <w:tcPr>
            <w:tcW w:type="dxa" w:w="3312"/>
          </w:tcPr>
          <w:p>
            <w:r>
              <w:t>Evidence-supported QAI product candidates</w:t>
            </w:r>
          </w:p>
        </w:tc>
      </w:tr>
      <w:tr>
        <w:tc>
          <w:tcPr>
            <w:tcW w:type="dxa" w:w="3312"/>
          </w:tcPr>
          <w:p>
            <w:r>
              <w:t>10</w:t>
            </w:r>
          </w:p>
        </w:tc>
        <w:tc>
          <w:tcPr>
            <w:tcW w:type="dxa" w:w="3312"/>
          </w:tcPr>
          <w:p>
            <w:r>
              <w:t>QAI product development</w:t>
            </w:r>
          </w:p>
        </w:tc>
        <w:tc>
          <w:tcPr>
            <w:tcW w:type="dxa" w:w="3312"/>
          </w:tcPr>
          <w:p>
            <w:r>
              <w:t>Future product-line components such as QAI Processor, QAI OS and QAI Memory</w:t>
            </w:r>
          </w:p>
        </w:tc>
      </w:tr>
    </w:tbl>
    <w:p>
      <w:pPr>
        <w:pStyle w:val="Heading1"/>
      </w:pPr>
      <w:r>
        <w:t>7. QAI Product-Line Development</w:t>
      </w:r>
    </w:p>
    <w:p>
      <w:r>
        <w:t>The QAI Lab can serve as an environment from which future QAI product candidates are identified, tested and progressively developed. Potential product-line areas include QAI Processor, QAI OS and QAI Memory.</w:t>
      </w:r>
    </w:p>
    <w:p>
      <w:r>
        <w:t>These should be presented to investors and bidders according to maturity. A concept, research direction, reference implementation, prototype, demonstrated capability and production-ready product are different evidence levels and must not be conflated.</w:t>
      </w:r>
    </w:p>
    <w:p>
      <w:pPr>
        <w:pStyle w:val="Heading1"/>
      </w:pPr>
      <w:r>
        <w:t>8. Investor Pitch Narrative</w:t>
      </w:r>
    </w:p>
    <w:p>
      <w:r>
        <w:t>The investor proposition is that investment is used to convert an existing base of QAI intellectual assets, frameworks, research, reference implementations and pilot work into a reusable client-facing experimentation and engineering ecosystem, then progressively into product and service capabilities.</w:t>
      </w:r>
    </w:p>
    <w:p>
      <w:r>
        <w:t>The investment story should focus on capability-building milestones rather than unsupported valuation or revenue claims.</w:t>
      </w:r>
    </w:p>
    <w:p>
      <w:pPr>
        <w:pStyle w:val="ListBullet"/>
      </w:pPr>
      <w:r>
        <w:t>Strengthen the QAI Asset Fabric and asset registry.</w:t>
      </w:r>
    </w:p>
    <w:p>
      <w:pPr>
        <w:pStyle w:val="ListBullet"/>
      </w:pPr>
      <w:r>
        <w:t>Modularize reusable frameworks and reference implementations.</w:t>
      </w:r>
    </w:p>
    <w:p>
      <w:pPr>
        <w:pStyle w:val="ListBullet"/>
      </w:pPr>
      <w:r>
        <w:t>Develop stable APIs, interfaces and adapters.</w:t>
      </w:r>
    </w:p>
    <w:p>
      <w:pPr>
        <w:pStyle w:val="ListBullet"/>
      </w:pPr>
      <w:r>
        <w:t>Build the QAI Lab as a Service foundation.</w:t>
      </w:r>
    </w:p>
    <w:p>
      <w:pPr>
        <w:pStyle w:val="ListBullet"/>
      </w:pPr>
      <w:r>
        <w:t>Develop Co-Design and Experiment Acceleration workflows.</w:t>
      </w:r>
    </w:p>
    <w:p>
      <w:pPr>
        <w:pStyle w:val="ListBullet"/>
      </w:pPr>
      <w:r>
        <w:t>Create demonstrable FAEP Academy and FAEP Client environments.</w:t>
      </w:r>
    </w:p>
    <w:p>
      <w:pPr>
        <w:pStyle w:val="ListBullet"/>
      </w:pPr>
      <w:r>
        <w:t>Build evidence through experiments and reference implementations.</w:t>
      </w:r>
    </w:p>
    <w:p>
      <w:pPr>
        <w:pStyle w:val="ListBullet"/>
      </w:pPr>
      <w:r>
        <w:t>Convert validated opportunities into product/service roadmaps.</w:t>
      </w:r>
    </w:p>
    <w:p>
      <w:pPr>
        <w:pStyle w:val="ListBullet"/>
      </w:pPr>
      <w:r>
        <w:t>Progress selected QAI product candidates toward prototype and implementation maturity.</w:t>
      </w:r>
    </w:p>
    <w:p>
      <w:pPr>
        <w:pStyle w:val="ListBullet"/>
      </w:pPr>
      <w:r>
        <w:t>Expand partner, engineering, security and delivery capacity as funded opportunities justify it.</w:t>
      </w:r>
    </w:p>
    <w:p>
      <w:pPr>
        <w:pStyle w:val="Heading1"/>
      </w:pPr>
      <w:r>
        <w:t>9. Investor Milestone Logic</w:t>
      </w:r>
    </w:p>
    <w:p>
      <w:pPr>
        <w:pStyle w:val="ListNumber"/>
      </w:pPr>
      <w:r>
        <w:t>Foundation investment → asset inventory, repository structure, interfaces and reusable engineering foundations.</w:t>
      </w:r>
    </w:p>
    <w:p>
      <w:pPr>
        <w:pStyle w:val="ListNumber"/>
      </w:pPr>
      <w:r>
        <w:t>Platform investment → QAI LabaaS, Co-Design workflows, Experiment Acceleration Kit and execution integration.</w:t>
      </w:r>
    </w:p>
    <w:p>
      <w:pPr>
        <w:pStyle w:val="ListNumber"/>
      </w:pPr>
      <w:r>
        <w:t>Demonstration investment → FAEP Academy/FAEP Client reference environments and repeatable demonstrations.</w:t>
      </w:r>
    </w:p>
    <w:p>
      <w:pPr>
        <w:pStyle w:val="ListNumber"/>
      </w:pPr>
      <w:r>
        <w:t>Engineering investment → selected reference implementations, prototypes, testing, security and delivery capability.</w:t>
      </w:r>
    </w:p>
    <w:p>
      <w:pPr>
        <w:pStyle w:val="ListNumber"/>
      </w:pPr>
      <w:r>
        <w:t>Product investment → selected QAI product candidates and progressively higher maturity evidence.</w:t>
      </w:r>
    </w:p>
    <w:p>
      <w:pPr>
        <w:pStyle w:val="ListNumber"/>
      </w:pPr>
      <w:r>
        <w:t>Commercialization investment → partner network, bid readiness, local delivery capability and client-specific implementation capacity.</w:t>
      </w:r>
    </w:p>
    <w:p>
      <w:pPr>
        <w:pStyle w:val="Heading1"/>
      </w:pPr>
      <w:r>
        <w:t>10. Procurement and Bid Response Narrative</w:t>
      </w:r>
    </w:p>
    <w:p>
      <w:r>
        <w:t>The same asset base can support bid responses, but the emphasis changes from future investment to current capability, evidence, delivery model and clearly stated maturity.</w:t>
      </w:r>
    </w:p>
    <w:tbl>
      <w:tblPr>
        <w:tblStyle w:val="TableGrid"/>
        <w:tblW w:type="auto" w:w="0"/>
        <w:tblLook w:firstColumn="1" w:firstRow="1" w:lastColumn="0" w:lastRow="0" w:noHBand="0" w:noVBand="1" w:val="04A0"/>
      </w:tblPr>
      <w:tblGrid>
        <w:gridCol w:w="3312"/>
        <w:gridCol w:w="3312"/>
        <w:gridCol w:w="3312"/>
      </w:tblGrid>
      <w:tr>
        <w:tc>
          <w:tcPr>
            <w:tcW w:type="dxa" w:w="3312"/>
          </w:tcPr>
          <w:p>
            <w:r>
              <w:t>Bid view</w:t>
            </w:r>
          </w:p>
        </w:tc>
        <w:tc>
          <w:tcPr>
            <w:tcW w:type="dxa" w:w="3312"/>
          </w:tcPr>
          <w:p>
            <w:r>
              <w:t>What to show</w:t>
            </w:r>
          </w:p>
        </w:tc>
        <w:tc>
          <w:tcPr>
            <w:tcW w:type="dxa" w:w="3312"/>
          </w:tcPr>
          <w:p>
            <w:r>
              <w:t>Evidence discipline</w:t>
            </w:r>
          </w:p>
        </w:tc>
      </w:tr>
      <w:tr>
        <w:tc>
          <w:tcPr>
            <w:tcW w:type="dxa" w:w="3312"/>
          </w:tcPr>
          <w:p>
            <w:r>
              <w:t>Current capability</w:t>
            </w:r>
          </w:p>
        </w:tc>
        <w:tc>
          <w:tcPr>
            <w:tcW w:type="dxa" w:w="3312"/>
          </w:tcPr>
          <w:p>
            <w:r>
              <w:t>Existing frameworks, notebooks, reference implementations, templates, resource/control structures</w:t>
            </w:r>
          </w:p>
        </w:tc>
        <w:tc>
          <w:tcPr>
            <w:tcW w:type="dxa" w:w="3312"/>
          </w:tcPr>
          <w:p>
            <w:r>
              <w:t>Identify what exists and its maturity</w:t>
            </w:r>
          </w:p>
        </w:tc>
      </w:tr>
      <w:tr>
        <w:tc>
          <w:tcPr>
            <w:tcW w:type="dxa" w:w="3312"/>
          </w:tcPr>
          <w:p>
            <w:r>
              <w:t>Available service capability</w:t>
            </w:r>
          </w:p>
        </w:tc>
        <w:tc>
          <w:tcPr>
            <w:tcW w:type="dxa" w:w="3312"/>
          </w:tcPr>
          <w:p>
            <w:r>
              <w:t>Co-Design, Experiment Acceleration Kit, QAI LabaaS and engineering tracks</w:t>
            </w:r>
          </w:p>
        </w:tc>
        <w:tc>
          <w:tcPr>
            <w:tcW w:type="dxa" w:w="3312"/>
          </w:tcPr>
          <w:p>
            <w:r>
              <w:t>Show demonstrated or documented capability</w:t>
            </w:r>
          </w:p>
        </w:tc>
      </w:tr>
      <w:tr>
        <w:tc>
          <w:tcPr>
            <w:tcW w:type="dxa" w:w="3312"/>
          </w:tcPr>
          <w:p>
            <w:r>
              <w:t>Partner-enabled capability</w:t>
            </w:r>
          </w:p>
        </w:tc>
        <w:tc>
          <w:tcPr>
            <w:tcW w:type="dxa" w:w="3312"/>
          </w:tcPr>
          <w:p>
            <w:r>
              <w:t>Specialist engineering, security, platform or domain partners</w:t>
            </w:r>
          </w:p>
        </w:tc>
        <w:tc>
          <w:tcPr>
            <w:tcW w:type="dxa" w:w="3312"/>
          </w:tcPr>
          <w:p>
            <w:r>
              <w:t>Identify partner status and contractual basis</w:t>
            </w:r>
          </w:p>
        </w:tc>
      </w:tr>
      <w:tr>
        <w:tc>
          <w:tcPr>
            <w:tcW w:type="dxa" w:w="3312"/>
          </w:tcPr>
          <w:p>
            <w:r>
              <w:t>Future capability</w:t>
            </w:r>
          </w:p>
        </w:tc>
        <w:tc>
          <w:tcPr>
            <w:tcW w:type="dxa" w:w="3312"/>
          </w:tcPr>
          <w:p>
            <w:r>
              <w:t>Planned product development and integrations</w:t>
            </w:r>
          </w:p>
        </w:tc>
        <w:tc>
          <w:tcPr>
            <w:tcW w:type="dxa" w:w="3312"/>
          </w:tcPr>
          <w:p>
            <w:r>
              <w:t>Clearly label as planned/proposed</w:t>
            </w:r>
          </w:p>
        </w:tc>
      </w:tr>
      <w:tr>
        <w:tc>
          <w:tcPr>
            <w:tcW w:type="dxa" w:w="3312"/>
          </w:tcPr>
          <w:p>
            <w:r>
              <w:t>Client-specific delivery</w:t>
            </w:r>
          </w:p>
        </w:tc>
        <w:tc>
          <w:tcPr>
            <w:tcW w:type="dxa" w:w="3312"/>
          </w:tcPr>
          <w:p>
            <w:r>
              <w:t>Work packages, architecture, implementation and transition</w:t>
            </w:r>
          </w:p>
        </w:tc>
        <w:tc>
          <w:tcPr>
            <w:tcW w:type="dxa" w:w="3312"/>
          </w:tcPr>
          <w:p>
            <w:r>
              <w:t>Validate staffing, security, subcontracting and commercial assumptions</w:t>
            </w:r>
          </w:p>
        </w:tc>
      </w:tr>
    </w:tbl>
    <w:p>
      <w:pPr>
        <w:pStyle w:val="Heading1"/>
      </w:pPr>
      <w:r>
        <w:t>11. Evidence Maturity Model</w:t>
      </w:r>
    </w:p>
    <w:p>
      <w:r>
        <w:t>All investor and bid material should use a common evidence vocabulary:</w:t>
      </w:r>
    </w:p>
    <w:p>
      <w:pPr>
        <w:pStyle w:val="ListBullet"/>
      </w:pPr>
      <w:r>
        <w:t>Concept — proposed idea or architecture.</w:t>
      </w:r>
    </w:p>
    <w:p>
      <w:pPr>
        <w:pStyle w:val="ListBullet"/>
      </w:pPr>
      <w:r>
        <w:t>Documented — design, framework or specification exists.</w:t>
      </w:r>
    </w:p>
    <w:p>
      <w:pPr>
        <w:pStyle w:val="ListBullet"/>
      </w:pPr>
      <w:r>
        <w:t>Reference Implementation — executable example demonstrates selected behaviour.</w:t>
      </w:r>
    </w:p>
    <w:p>
      <w:pPr>
        <w:pStyle w:val="ListBullet"/>
      </w:pPr>
      <w:r>
        <w:t>Demonstrated — capability has been exercised in a controlled demonstration.</w:t>
      </w:r>
    </w:p>
    <w:p>
      <w:pPr>
        <w:pStyle w:val="ListBullet"/>
      </w:pPr>
      <w:r>
        <w:t>Experimentally Validated — measured evidence exists for defined conditions.</w:t>
      </w:r>
    </w:p>
    <w:p>
      <w:pPr>
        <w:pStyle w:val="ListBullet"/>
      </w:pPr>
      <w:r>
        <w:t>Prototype — integrated implementation suitable for further engineering.</w:t>
      </w:r>
    </w:p>
    <w:p>
      <w:pPr>
        <w:pStyle w:val="ListBullet"/>
      </w:pPr>
      <w:r>
        <w:t>Production/Operational — deployment and operational evidence exists.</w:t>
      </w:r>
    </w:p>
    <w:p>
      <w:r>
        <w:t>The maturity label should be attached to the specific capability being described, not generalized to an entire product or organization.</w:t>
      </w:r>
    </w:p>
    <w:p>
      <w:pPr>
        <w:pStyle w:val="Heading1"/>
      </w:pPr>
      <w:r>
        <w:t>12. One Evidence Base, Three Views</w:t>
      </w:r>
    </w:p>
    <w:p>
      <w:r>
        <w:t>Bhadale IT should maintain one underlying engineering and evidence base and derive three presentation views:</w:t>
      </w:r>
    </w:p>
    <w:tbl>
      <w:tblPr>
        <w:tblStyle w:val="TableGrid"/>
        <w:tblW w:type="auto" w:w="0"/>
        <w:tblLook w:firstColumn="1" w:firstRow="1" w:lastColumn="0" w:lastRow="0" w:noHBand="0" w:noVBand="1" w:val="04A0"/>
      </w:tblPr>
      <w:tblGrid>
        <w:gridCol w:w="4968"/>
        <w:gridCol w:w="4968"/>
      </w:tblGrid>
      <w:tr>
        <w:tc>
          <w:tcPr>
            <w:tcW w:type="dxa" w:w="4968"/>
          </w:tcPr>
          <w:p>
            <w:r>
              <w:t>Audience</w:t>
            </w:r>
          </w:p>
        </w:tc>
        <w:tc>
          <w:tcPr>
            <w:tcW w:type="dxa" w:w="4968"/>
          </w:tcPr>
          <w:p>
            <w:r>
              <w:t>Primary question</w:t>
            </w:r>
          </w:p>
        </w:tc>
      </w:tr>
      <w:tr>
        <w:tc>
          <w:tcPr>
            <w:tcW w:type="dxa" w:w="4968"/>
          </w:tcPr>
          <w:p>
            <w:r>
              <w:t>Engineering</w:t>
            </w:r>
          </w:p>
        </w:tc>
        <w:tc>
          <w:tcPr>
            <w:tcW w:type="dxa" w:w="4968"/>
          </w:tcPr>
          <w:p>
            <w:r>
              <w:t>What have we built, how does it work, and what evidence exists?</w:t>
            </w:r>
          </w:p>
        </w:tc>
      </w:tr>
      <w:tr>
        <w:tc>
          <w:tcPr>
            <w:tcW w:type="dxa" w:w="4968"/>
          </w:tcPr>
          <w:p>
            <w:r>
              <w:t>Investor</w:t>
            </w:r>
          </w:p>
        </w:tc>
        <w:tc>
          <w:tcPr>
            <w:tcW w:type="dxa" w:w="4968"/>
          </w:tcPr>
          <w:p>
            <w:r>
              <w:t>What will investment develop, what milestones will it unlock, and how does capability progress?</w:t>
            </w:r>
          </w:p>
        </w:tc>
      </w:tr>
      <w:tr>
        <w:tc>
          <w:tcPr>
            <w:tcW w:type="dxa" w:w="4968"/>
          </w:tcPr>
          <w:p>
            <w:r>
              <w:t>Procurement/Bid</w:t>
            </w:r>
          </w:p>
        </w:tc>
        <w:tc>
          <w:tcPr>
            <w:tcW w:type="dxa" w:w="4968"/>
          </w:tcPr>
          <w:p>
            <w:r>
              <w:t>What capability exists today, what can be delivered, what evidence supports it, and what is planned?</w:t>
            </w:r>
          </w:p>
        </w:tc>
      </w:tr>
    </w:tbl>
    <w:p>
      <w:pPr>
        <w:pStyle w:val="Heading1"/>
      </w:pPr>
      <w:r>
        <w:t>13. Proposed VS Code Workspace Target State</w:t>
      </w:r>
    </w:p>
    <w:p>
      <w:r>
        <w:rPr>
          <w:rFonts w:ascii="Consolas" w:hAnsi="Consolas"/>
          <w:sz w:val="18"/>
        </w:rPr>
        <w:t>qai_lab/</w:t>
        <w:br/>
        <w:t>├── asset_fabric/</w:t>
        <w:br/>
        <w:t>├── experiment_acceleration_kit/</w:t>
        <w:br/>
        <w:t>├── tracks/</w:t>
        <w:br/>
        <w:t>├── codesign/</w:t>
        <w:br/>
        <w:t>├── experiments/</w:t>
        <w:br/>
        <w:t>├── reference_implementations/</w:t>
        <w:br/>
        <w:t>├── client_demonstrations/</w:t>
        <w:br/>
        <w:t>│   ├── faep_academy/</w:t>
        <w:br/>
        <w:t>│   └── faep_client/</w:t>
        <w:br/>
        <w:t>├── product_roadmaps/</w:t>
        <w:br/>
        <w:t>│   ├── qai_processor/</w:t>
        <w:br/>
        <w:t>│   ├── qai_os/</w:t>
        <w:br/>
        <w:t>│   ├── qai_memory/</w:t>
        <w:br/>
        <w:t>│   └── other_qai_products/</w:t>
        <w:br/>
        <w:t>├── evidence/</w:t>
        <w:br/>
        <w:t>│   ├── capability_evidence/</w:t>
        <w:br/>
        <w:t>│   ├── experiment_evidence/</w:t>
        <w:br/>
        <w:t>│   ├── demo_evidence/</w:t>
        <w:br/>
        <w:t>│   └── maturity/</w:t>
        <w:br/>
        <w:t>└── commercialisation/</w:t>
        <w:br/>
        <w:t xml:space="preserve">    ├── investor/</w:t>
        <w:br/>
        <w:t xml:space="preserve">    ├── bids/</w:t>
        <w:br/>
        <w:t xml:space="preserve">    ├── capability_statements/</w:t>
        <w:br/>
        <w:t xml:space="preserve">    └── roadmap/</w:t>
      </w:r>
    </w:p>
    <w:p>
      <w:pPr>
        <w:pStyle w:val="Heading1"/>
      </w:pPr>
      <w:r>
        <w:t>14. Relationship to the Four Commercial Pillars</w:t>
      </w:r>
    </w:p>
    <w:tbl>
      <w:tblPr>
        <w:tblStyle w:val="TableGrid"/>
        <w:tblW w:type="auto" w:w="0"/>
        <w:tblLook w:firstColumn="1" w:firstRow="1" w:lastColumn="0" w:lastRow="0" w:noHBand="0" w:noVBand="1" w:val="04A0"/>
      </w:tblPr>
      <w:tblGrid>
        <w:gridCol w:w="4968"/>
        <w:gridCol w:w="4968"/>
      </w:tblGrid>
      <w:tr>
        <w:tc>
          <w:tcPr>
            <w:tcW w:type="dxa" w:w="4968"/>
          </w:tcPr>
          <w:p>
            <w:r>
              <w:t>Pillar</w:t>
            </w:r>
          </w:p>
        </w:tc>
        <w:tc>
          <w:tcPr>
            <w:tcW w:type="dxa" w:w="4968"/>
          </w:tcPr>
          <w:p>
            <w:r>
              <w:t>QAI Lab / commercial connection</w:t>
            </w:r>
          </w:p>
        </w:tc>
      </w:tr>
      <w:tr>
        <w:tc>
          <w:tcPr>
            <w:tcW w:type="dxa" w:w="4968"/>
          </w:tcPr>
          <w:p>
            <w:r>
              <w:t>Products</w:t>
            </w:r>
          </w:p>
        </w:tc>
        <w:tc>
          <w:tcPr>
            <w:tcW w:type="dxa" w:w="4968"/>
          </w:tcPr>
          <w:p>
            <w:r>
              <w:t>Validated product opportunities can progress into QAI product-line development.</w:t>
            </w:r>
          </w:p>
        </w:tc>
      </w:tr>
      <w:tr>
        <w:tc>
          <w:tcPr>
            <w:tcW w:type="dxa" w:w="4968"/>
          </w:tcPr>
          <w:p>
            <w:r>
              <w:t>Modernization</w:t>
            </w:r>
          </w:p>
        </w:tc>
        <w:tc>
          <w:tcPr>
            <w:tcW w:type="dxa" w:w="4968"/>
          </w:tcPr>
          <w:p>
            <w:r>
              <w:t>Experiments and Co-Design can identify evidence-supported modernization pathways.</w:t>
            </w:r>
          </w:p>
        </w:tc>
      </w:tr>
      <w:tr>
        <w:tc>
          <w:tcPr>
            <w:tcW w:type="dxa" w:w="4968"/>
          </w:tcPr>
          <w:p>
            <w:r>
              <w:t>Services</w:t>
            </w:r>
          </w:p>
        </w:tc>
        <w:tc>
          <w:tcPr>
            <w:tcW w:type="dxa" w:w="4968"/>
          </w:tcPr>
          <w:p>
            <w:r>
              <w:t>QAI LabaaS, Co-Design and engineering capabilities can form reusable service offers.</w:t>
            </w:r>
          </w:p>
        </w:tc>
      </w:tr>
      <w:tr>
        <w:tc>
          <w:tcPr>
            <w:tcW w:type="dxa" w:w="4968"/>
          </w:tcPr>
          <w:p>
            <w:r>
              <w:t>Research</w:t>
            </w:r>
          </w:p>
        </w:tc>
        <w:tc>
          <w:tcPr>
            <w:tcW w:type="dxa" w:w="4968"/>
          </w:tcPr>
          <w:p>
            <w:r>
              <w:t>Experiments can generate knowledge, patterns, candidate IP and future product opportunities.</w:t>
            </w:r>
          </w:p>
        </w:tc>
      </w:tr>
    </w:tbl>
    <w:p>
      <w:pPr>
        <w:pStyle w:val="Heading1"/>
      </w:pPr>
      <w:r>
        <w:t>15. Procurement Readiness Implications</w:t>
      </w:r>
    </w:p>
    <w:p>
      <w:pPr>
        <w:pStyle w:val="ListBullet"/>
      </w:pPr>
      <w:r>
        <w:t>The QAI Lab provides a concrete demonstration environment for capability statements.</w:t>
      </w:r>
    </w:p>
    <w:p>
      <w:pPr>
        <w:pStyle w:val="ListBullet"/>
      </w:pPr>
      <w:r>
        <w:t>The Asset Fabric provides a structured inventory of reusable technical assets.</w:t>
      </w:r>
    </w:p>
    <w:p>
      <w:pPr>
        <w:pStyle w:val="ListBullet"/>
      </w:pPr>
      <w:r>
        <w:t>Reference implementations provide evidence beyond conceptual architecture.</w:t>
      </w:r>
    </w:p>
    <w:p>
      <w:pPr>
        <w:pStyle w:val="ListBullet"/>
      </w:pPr>
      <w:r>
        <w:t>Co-Design provides a client-facing methodology for discovery and experimentation.</w:t>
      </w:r>
    </w:p>
    <w:p>
      <w:pPr>
        <w:pStyle w:val="ListBullet"/>
      </w:pPr>
      <w:r>
        <w:t>Experiment records provide evidence, assumptions, limitations and reproducibility.</w:t>
      </w:r>
    </w:p>
    <w:p>
      <w:pPr>
        <w:pStyle w:val="ListBullet"/>
      </w:pPr>
      <w:r>
        <w:t>The maturity model supports disciplined claims in RFI/RFQ responses.</w:t>
      </w:r>
    </w:p>
    <w:p>
      <w:pPr>
        <w:pStyle w:val="ListBullet"/>
      </w:pPr>
      <w:r>
        <w:t>The same workspace can support future bid-specific evidence packs without duplicating the underlying assets.</w:t>
      </w:r>
    </w:p>
    <w:p>
      <w:pPr>
        <w:pStyle w:val="Heading1"/>
      </w:pPr>
      <w:r>
        <w:t>16. Investor and Bid Guardrails</w:t>
      </w:r>
    </w:p>
    <w:p>
      <w:pPr>
        <w:pStyle w:val="ListBullet"/>
      </w:pPr>
      <w:r>
        <w:t>Do not represent FAEP Academy or FAEP Client as external commercial customers unless that status is independently established.</w:t>
      </w:r>
    </w:p>
    <w:p>
      <w:pPr>
        <w:pStyle w:val="ListBullet"/>
      </w:pPr>
      <w:r>
        <w:t>Do not represent planned QAI Processor, QAI OS or QAI Memory products as production products without evidence.</w:t>
      </w:r>
    </w:p>
    <w:p>
      <w:pPr>
        <w:pStyle w:val="ListBullet"/>
      </w:pPr>
      <w:r>
        <w:t>Separate existing, demonstrated, partner-enabled, planned and conceptual capabilities.</w:t>
      </w:r>
    </w:p>
    <w:p>
      <w:pPr>
        <w:pStyle w:val="ListBullet"/>
      </w:pPr>
      <w:r>
        <w:t>Do not claim quantum advantage, FTQC, physical QPU or quantum-network capabilities without corresponding evidence.</w:t>
      </w:r>
    </w:p>
    <w:p>
      <w:pPr>
        <w:pStyle w:val="ListBullet"/>
      </w:pPr>
      <w:r>
        <w:t>Do not imply partner delivery rights, certifications, reseller status or subcontracting arrangements without supporting agreements.</w:t>
      </w:r>
    </w:p>
    <w:p>
      <w:pPr>
        <w:pStyle w:val="ListBullet"/>
      </w:pPr>
      <w:r>
        <w:t>Use opportunity-specific security, data, IP, licensing, local-presence and subcontracting requirements for bids.</w:t>
      </w:r>
    </w:p>
    <w:p>
      <w:pPr>
        <w:pStyle w:val="ListBullet"/>
      </w:pPr>
      <w:r>
        <w:t>Use actual cost, staffing and delivery evidence before committing to numerical commercial estimates.</w:t>
      </w:r>
    </w:p>
    <w:p>
      <w:pPr>
        <w:pStyle w:val="Heading1"/>
      </w:pPr>
      <w:r>
        <w:t>17. Immediate Workspace Development Sequence</w:t>
      </w:r>
    </w:p>
    <w:p>
      <w:pPr>
        <w:pStyle w:val="ListNumber"/>
      </w:pPr>
      <w:r>
        <w:t>Establish the QAI Lab target-state folders in VS Code.</w:t>
      </w:r>
    </w:p>
    <w:p>
      <w:pPr>
        <w:pStyle w:val="ListNumber"/>
      </w:pPr>
      <w:r>
        <w:t>Create the initial QAI Asset Fabric registry.</w:t>
      </w:r>
    </w:p>
    <w:p>
      <w:pPr>
        <w:pStyle w:val="ListNumber"/>
      </w:pPr>
      <w:r>
        <w:t>Catalogue existing General Framework, General Factory, reference implementations, notebooks, Resource Fabrics, Control Planes and other reusable assets.</w:t>
      </w:r>
    </w:p>
    <w:p>
      <w:pPr>
        <w:pStyle w:val="ListNumber"/>
      </w:pPr>
      <w:r>
        <w:t>Define the first API/interface contracts.</w:t>
      </w:r>
    </w:p>
    <w:p>
      <w:pPr>
        <w:pStyle w:val="ListNumber"/>
      </w:pPr>
      <w:r>
        <w:t>Create FAEP Academy and FAEP Client demonstration structures.</w:t>
      </w:r>
    </w:p>
    <w:p>
      <w:pPr>
        <w:pStyle w:val="ListNumber"/>
      </w:pPr>
      <w:r>
        <w:t>Create evidence and maturity records for existing demonstrations.</w:t>
      </w:r>
    </w:p>
    <w:p>
      <w:pPr>
        <w:pStyle w:val="ListNumber"/>
      </w:pPr>
      <w:r>
        <w:t>Create product-roadmap placeholders for selected QAI product candidates.</w:t>
      </w:r>
    </w:p>
    <w:p>
      <w:pPr>
        <w:pStyle w:val="ListNumber"/>
      </w:pPr>
      <w:r>
        <w:t>Create investor and bid capability views from the same evidence base.</w:t>
      </w:r>
    </w:p>
    <w:p>
      <w:pPr>
        <w:pStyle w:val="ListNumber"/>
      </w:pPr>
      <w:r>
        <w:t>Use the Procurement Readiness Gap Analysis to prioritize investment and capacity-building milestones.</w:t>
      </w:r>
    </w:p>
    <w:p>
      <w:pPr>
        <w:pStyle w:val="Heading1"/>
      </w:pPr>
      <w:r>
        <w:t>18. Closing</w:t>
      </w:r>
    </w:p>
    <w:p>
      <w:r>
        <w:t>The commercial strategy is to build a reusable QAI technology and experimentation foundation that can first demonstrate utility through FAEP Academy and FAEP Client environments, then support broader client Co-Design, services and modernization engagements, and finally provide an evidence-based pathway into a QAI product line.</w:t>
      </w:r>
    </w:p>
    <w:p>
      <w:r>
        <w:t>For investors, this creates a milestone-oriented story showing how funding can convert existing intellectual and engineering assets into reusable infrastructure, client demonstrations, service capabilities and selected product development. For procurement, it creates a disciplined evidence base showing what is available today, what can be delivered through the service model, what is partner-enabled, and what remains future development.</w:t>
      </w:r>
    </w:p>
    <w:p>
      <w:r>
        <w:t>The strategic objective is therefore not to maintain separate investor and bid stories. It is to maintain one evidence-backed QAI asset and capability base from which investor, client and procurement narratives can be generated according to the audience.</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Bhadale IT | QAI Commercial, Investor &amp; Bid Strategy • Working document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