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POST-PILOT QAI LAB</w:t>
        <w:br/>
        <w:t>UPDATED STRATEGY</w:t>
      </w:r>
    </w:p>
    <w:p>
      <w:pPr>
        <w:jc w:val="center"/>
      </w:pPr>
      <w:r>
        <w:rPr>
          <w:i/>
          <w:sz w:val="22"/>
        </w:rPr>
        <w:t>Experiment Acceleration • Multi-Track Co-Design • Reusable QAI Asset Fabric</w:t>
      </w:r>
    </w:p>
    <w:p>
      <w:pPr>
        <w:jc w:val="center"/>
      </w:pPr>
      <w:r>
        <w:rPr>
          <w:b/>
        </w:rPr>
        <w:t>Bhadale IT • Working Strategy • 5 October 2026</w:t>
      </w:r>
    </w:p>
    <w:p>
      <w:pPr>
        <w:pStyle w:val="Heading1"/>
      </w:pPr>
      <w:r>
        <w:t>1. Strategy Intent</w:t>
      </w:r>
    </w:p>
    <w:p>
      <w:r>
        <w:t>The post-pilot QAI Lab is envisioned as a reusable client experimentation and co-design environment. It is intended to help clients start from a business, research, engineering or domain problem; select one or more technology/system tracks; compose an experiment using reusable QAI Lab assets; execute through appropriate simulation, emulation or physical resources; capture evidence; make informed decisions; and develop a roadmap for products, services, modernization or internal capability development.</w:t>
      </w:r>
    </w:p>
    <w:p>
      <w:r>
        <w:t>The Lab is therefore not intended to be merely a collection of demonstrations. It is a decision-support and experimentation ecosystem that progressively translates non-technical problem definitions into technical IDE-based workflows.</w:t>
      </w:r>
    </w:p>
    <w:p>
      <w:pPr>
        <w:pStyle w:val="Heading1"/>
      </w:pPr>
      <w:r>
        <w:t>2. Core Post-Pilot Model</w:t>
      </w:r>
    </w:p>
    <w:p>
      <w:r>
        <w:t>The proposed client journey is:</w:t>
      </w:r>
    </w:p>
    <w:p>
      <w:pPr>
        <w:pStyle w:val="ListNumber"/>
      </w:pPr>
      <w:r>
        <w:t>Client problem and desired outcome</w:t>
      </w:r>
    </w:p>
    <w:p>
      <w:pPr>
        <w:pStyle w:val="ListNumber"/>
      </w:pPr>
      <w:r>
        <w:t>Non-technical experiment design</w:t>
      </w:r>
    </w:p>
    <w:p>
      <w:pPr>
        <w:pStyle w:val="ListNumber"/>
      </w:pPr>
      <w:r>
        <w:t>Track selection</w:t>
      </w:r>
    </w:p>
    <w:p>
      <w:pPr>
        <w:pStyle w:val="ListNumber"/>
      </w:pPr>
      <w:r>
        <w:t>Co-design of architecture and experiment</w:t>
      </w:r>
    </w:p>
    <w:p>
      <w:pPr>
        <w:pStyle w:val="ListNumber"/>
      </w:pPr>
      <w:r>
        <w:t>Classical baseline and alternative approaches</w:t>
      </w:r>
    </w:p>
    <w:p>
      <w:pPr>
        <w:pStyle w:val="ListNumber"/>
      </w:pPr>
      <w:r>
        <w:t>Technical developer workflow in the IDE</w:t>
      </w:r>
    </w:p>
    <w:p>
      <w:pPr>
        <w:pStyle w:val="ListNumber"/>
      </w:pPr>
      <w:r>
        <w:t>Experiment execution</w:t>
      </w:r>
    </w:p>
    <w:p>
      <w:pPr>
        <w:pStyle w:val="ListNumber"/>
      </w:pPr>
      <w:r>
        <w:t>Evidence and reproducibility</w:t>
      </w:r>
    </w:p>
    <w:p>
      <w:pPr>
        <w:pStyle w:val="ListNumber"/>
      </w:pPr>
      <w:r>
        <w:t>Decision and recommendation</w:t>
      </w:r>
    </w:p>
    <w:p>
      <w:pPr>
        <w:pStyle w:val="ListNumber"/>
      </w:pPr>
      <w:r>
        <w:t>Product, service, modernization, research or capacity-development roadmap</w:t>
      </w:r>
    </w:p>
    <w:p>
      <w:pPr>
        <w:pStyle w:val="Heading1"/>
      </w:pPr>
      <w:r>
        <w:t>3. Separate QAI Lab Tracks</w:t>
      </w:r>
    </w:p>
    <w:p>
      <w:r>
        <w:t>Clients should be able to choose a single track or combine multiple tracks. The tracks represent distinct technology and engineering paradigms rather than forcing every problem into a quantum solution.</w:t>
      </w:r>
    </w:p>
    <w:tbl>
      <w:tblPr>
        <w:tblStyle w:val="TableGrid"/>
        <w:tblW w:type="auto" w:w="0"/>
        <w:tblLook w:firstColumn="1" w:firstRow="1" w:lastColumn="0" w:lastRow="0" w:noHBand="0" w:noVBand="1" w:val="04A0"/>
      </w:tblPr>
      <w:tblGrid>
        <w:gridCol w:w="4968"/>
        <w:gridCol w:w="4968"/>
      </w:tblGrid>
      <w:tr>
        <w:tc>
          <w:tcPr>
            <w:tcW w:type="dxa" w:w="4968"/>
          </w:tcPr>
          <w:p>
            <w:r>
              <w:t>Track</w:t>
            </w:r>
          </w:p>
        </w:tc>
        <w:tc>
          <w:tcPr>
            <w:tcW w:type="dxa" w:w="4968"/>
          </w:tcPr>
          <w:p>
            <w:r>
              <w:t>Primary focus</w:t>
            </w:r>
          </w:p>
        </w:tc>
      </w:tr>
      <w:tr>
        <w:tc>
          <w:tcPr>
            <w:tcW w:type="dxa" w:w="4968"/>
          </w:tcPr>
          <w:p>
            <w:r>
              <w:t>Quantum Computing</w:t>
            </w:r>
          </w:p>
        </w:tc>
        <w:tc>
          <w:tcPr>
            <w:tcW w:type="dxa" w:w="4968"/>
          </w:tcPr>
          <w:p>
            <w:r>
              <w:t>Quantum and hybrid computation, algorithms, simulation, emulation, QEC/FTQC, resource management and quantum execution.</w:t>
            </w:r>
          </w:p>
        </w:tc>
      </w:tr>
      <w:tr>
        <w:tc>
          <w:tcPr>
            <w:tcW w:type="dxa" w:w="4968"/>
          </w:tcPr>
          <w:p>
            <w:r>
              <w:t>Quantum Communication</w:t>
            </w:r>
          </w:p>
        </w:tc>
        <w:tc>
          <w:tcPr>
            <w:tcW w:type="dxa" w:w="4968"/>
          </w:tcPr>
          <w:p>
            <w:r>
              <w:t>QKD, quantum networking, entanglement-related mechanisms, transduction, protocols and classical–quantum interfaces.</w:t>
            </w:r>
          </w:p>
        </w:tc>
      </w:tr>
      <w:tr>
        <w:tc>
          <w:tcPr>
            <w:tcW w:type="dxa" w:w="4968"/>
          </w:tcPr>
          <w:p>
            <w:r>
              <w:t>Software Engineering</w:t>
            </w:r>
          </w:p>
        </w:tc>
        <w:tc>
          <w:tcPr>
            <w:tcW w:type="dxa" w:w="4968"/>
          </w:tcPr>
          <w:p>
            <w:r>
              <w:t>Application, data and AI/ML engineering, architecture, DevSecOps, testing, validation, observability and integration.</w:t>
            </w:r>
          </w:p>
        </w:tc>
      </w:tr>
      <w:tr>
        <w:tc>
          <w:tcPr>
            <w:tcW w:type="dxa" w:w="4968"/>
          </w:tcPr>
          <w:p>
            <w:r>
              <w:t>Systems Engineering</w:t>
            </w:r>
          </w:p>
        </w:tc>
        <w:tc>
          <w:tcPr>
            <w:tcW w:type="dxa" w:w="4968"/>
          </w:tcPr>
          <w:p>
            <w:r>
              <w:t>Requirements, architecture, system models, interfaces, verification/validation, assurance and lifecycle engineering.</w:t>
            </w:r>
          </w:p>
        </w:tc>
      </w:tr>
      <w:tr>
        <w:tc>
          <w:tcPr>
            <w:tcW w:type="dxa" w:w="4968"/>
          </w:tcPr>
          <w:p>
            <w:r>
              <w:t>Domain</w:t>
            </w:r>
          </w:p>
        </w:tc>
        <w:tc>
          <w:tcPr>
            <w:tcW w:type="dxa" w:w="4968"/>
          </w:tcPr>
          <w:p>
            <w:r>
              <w:t>Industry/business problem context, workflows, domain models, constraints, scenarios, outcomes and acceptance criteria.</w:t>
            </w:r>
          </w:p>
        </w:tc>
      </w:tr>
    </w:tbl>
    <w:p>
      <w:pPr>
        <w:pStyle w:val="Heading1"/>
      </w:pPr>
      <w:r>
        <w:t>4. Co-Design as the Integration Mechanism</w:t>
      </w:r>
    </w:p>
    <w:p>
      <w:r>
        <w:t>Co-Design is the bridge between the tracks. A client may select one track, two tracks or a multi-track combination. The domain track provides the problem context and acceptance criteria, while the engineering and technology tracks provide alternative ways to investigate and solve the problem.</w:t>
      </w:r>
    </w:p>
    <w:p>
      <w:r>
        <w:t>Proposed Co-Design lifecycle:</w:t>
      </w:r>
    </w:p>
    <w:p>
      <w:r>
        <w:t>CLIENT PROBLEM → DOMAIN UNDERSTANDING → OBJECTIVES &amp; CONSTRAINTS → TRACK SELECTION → SINGLE/HYBRID TRACK → ARCHITECTURE CO-DESIGN → CLASSICAL BASELINE → EXPERIMENT DESIGN → REFERENCE IMPLEMENTATION → SIMULATION/EMULATION/PHYSICAL TEST → EVIDENCE → TRADE-OFF ANALYSIS → DECISION → ROADMAP</w:t>
      </w:r>
    </w:p>
    <w:p>
      <w:pPr>
        <w:pStyle w:val="Heading1"/>
      </w:pPr>
      <w:r>
        <w:t>5. Non-Technical Designer to Technical Developer</w:t>
      </w:r>
    </w:p>
    <w:p>
      <w:r>
        <w:t>A key feature is a staged transition from client-friendly experiment definition to technical implementation.</w:t>
      </w:r>
    </w:p>
    <w:tbl>
      <w:tblPr>
        <w:tblStyle w:val="TableGrid"/>
        <w:tblW w:type="auto" w:w="0"/>
        <w:tblLook w:firstColumn="1" w:firstRow="1" w:lastColumn="0" w:lastRow="0" w:noHBand="0" w:noVBand="1" w:val="04A0"/>
      </w:tblPr>
      <w:tblGrid>
        <w:gridCol w:w="3312"/>
        <w:gridCol w:w="3312"/>
        <w:gridCol w:w="3312"/>
      </w:tblGrid>
      <w:tr>
        <w:tc>
          <w:tcPr>
            <w:tcW w:type="dxa" w:w="3312"/>
          </w:tcPr>
          <w:p>
            <w:r>
              <w:t>Level</w:t>
            </w:r>
          </w:p>
        </w:tc>
        <w:tc>
          <w:tcPr>
            <w:tcW w:type="dxa" w:w="3312"/>
          </w:tcPr>
          <w:p>
            <w:r>
              <w:t>Participant</w:t>
            </w:r>
          </w:p>
        </w:tc>
        <w:tc>
          <w:tcPr>
            <w:tcW w:type="dxa" w:w="3312"/>
          </w:tcPr>
          <w:p>
            <w:r>
              <w:t>Typical activity</w:t>
            </w:r>
          </w:p>
        </w:tc>
      </w:tr>
      <w:tr>
        <w:tc>
          <w:tcPr>
            <w:tcW w:type="dxa" w:w="3312"/>
          </w:tcPr>
          <w:p>
            <w:r>
              <w:t>1</w:t>
            </w:r>
          </w:p>
        </w:tc>
        <w:tc>
          <w:tcPr>
            <w:tcW w:type="dxa" w:w="3312"/>
          </w:tcPr>
          <w:p>
            <w:r>
              <w:t>Client / Business / Domain Designer</w:t>
            </w:r>
          </w:p>
        </w:tc>
        <w:tc>
          <w:tcPr>
            <w:tcW w:type="dxa" w:w="3312"/>
          </w:tcPr>
          <w:p>
            <w:r>
              <w:t>Define problem, outcome, constraints, scenarios and success criteria.</w:t>
            </w:r>
          </w:p>
        </w:tc>
      </w:tr>
      <w:tr>
        <w:tc>
          <w:tcPr>
            <w:tcW w:type="dxa" w:w="3312"/>
          </w:tcPr>
          <w:p>
            <w:r>
              <w:t>2</w:t>
            </w:r>
          </w:p>
        </w:tc>
        <w:tc>
          <w:tcPr>
            <w:tcW w:type="dxa" w:w="3312"/>
          </w:tcPr>
          <w:p>
            <w:r>
              <w:t>QAI Co-Designer</w:t>
            </w:r>
          </w:p>
        </w:tc>
        <w:tc>
          <w:tcPr>
            <w:tcW w:type="dxa" w:w="3312"/>
          </w:tcPr>
          <w:p>
            <w:r>
              <w:t>Select tracks, identify capabilities, compare architectures and design the experiment.</w:t>
            </w:r>
          </w:p>
        </w:tc>
      </w:tr>
      <w:tr>
        <w:tc>
          <w:tcPr>
            <w:tcW w:type="dxa" w:w="3312"/>
          </w:tcPr>
          <w:p>
            <w:r>
              <w:t>3</w:t>
            </w:r>
          </w:p>
        </w:tc>
        <w:tc>
          <w:tcPr>
            <w:tcW w:type="dxa" w:w="3312"/>
          </w:tcPr>
          <w:p>
            <w:r>
              <w:t>Technical Developer</w:t>
            </w:r>
          </w:p>
        </w:tc>
        <w:tc>
          <w:tcPr>
            <w:tcW w:type="dxa" w:w="3312"/>
          </w:tcPr>
          <w:p>
            <w:r>
              <w:t>Translate the design into IDE workflows, code, configuration, adapters and tests.</w:t>
            </w:r>
          </w:p>
        </w:tc>
      </w:tr>
      <w:tr>
        <w:tc>
          <w:tcPr>
            <w:tcW w:type="dxa" w:w="3312"/>
          </w:tcPr>
          <w:p>
            <w:r>
              <w:t>4</w:t>
            </w:r>
          </w:p>
        </w:tc>
        <w:tc>
          <w:tcPr>
            <w:tcW w:type="dxa" w:w="3312"/>
          </w:tcPr>
          <w:p>
            <w:r>
              <w:t>Evidence &amp; Decision</w:t>
            </w:r>
          </w:p>
        </w:tc>
        <w:tc>
          <w:tcPr>
            <w:tcW w:type="dxa" w:w="3312"/>
          </w:tcPr>
          <w:p>
            <w:r>
              <w:t>Evaluate results, cost, quality, risks, reproducibility and next actions.</w:t>
            </w:r>
          </w:p>
        </w:tc>
      </w:tr>
    </w:tbl>
    <w:p>
      <w:pPr>
        <w:pStyle w:val="Heading1"/>
      </w:pPr>
      <w:r>
        <w:t>6. QAI Lab Asset Fabric</w:t>
      </w:r>
    </w:p>
    <w:p>
      <w:r>
        <w:t>The Lab should reuse existing QAI assets through interfaces, APIs, adapters and contracts rather than copying assets into every project. This creates an asset-fabric model in which existing work can be discovered and composed around a new experiment.</w:t>
      </w:r>
    </w:p>
    <w:p>
      <w:pPr>
        <w:pStyle w:val="ListBullet"/>
      </w:pPr>
      <w:r>
        <w:t>Pilot notebooks — experiment and workflow starting points.</w:t>
      </w:r>
    </w:p>
    <w:p>
      <w:pPr>
        <w:pStyle w:val="ListBullet"/>
      </w:pPr>
      <w:r>
        <w:t>QAI Factory pipelines — workflow execution and orchestration.</w:t>
      </w:r>
    </w:p>
    <w:p>
      <w:pPr>
        <w:pStyle w:val="ListBullet"/>
      </w:pPr>
      <w:r>
        <w:t>Resource Fabrics — resource discovery, capacity and allocation.</w:t>
      </w:r>
    </w:p>
    <w:p>
      <w:pPr>
        <w:pStyle w:val="ListBullet"/>
      </w:pPr>
      <w:r>
        <w:t>Control Planes — policy, governance and orchestration.</w:t>
      </w:r>
    </w:p>
    <w:p>
      <w:pPr>
        <w:pStyle w:val="ListBullet"/>
      </w:pPr>
      <w:r>
        <w:t>Virtual Assets — representations of experiment resources and systems.</w:t>
      </w:r>
    </w:p>
    <w:p>
      <w:pPr>
        <w:pStyle w:val="ListBullet"/>
      </w:pPr>
      <w:r>
        <w:t>General Factory — resolution of logical capabilities to implementations and runtime services.</w:t>
      </w:r>
    </w:p>
    <w:p>
      <w:pPr>
        <w:pStyle w:val="ListBullet"/>
      </w:pPr>
      <w:r>
        <w:t>QAI Processors — execution resources or configurable execution profiles.</w:t>
      </w:r>
    </w:p>
    <w:p>
      <w:pPr>
        <w:pStyle w:val="ListBullet"/>
      </w:pPr>
      <w:r>
        <w:t>Digital Twin/CPS assets — simulation and emulation.</w:t>
      </w:r>
    </w:p>
    <w:p>
      <w:pPr>
        <w:pStyle w:val="ListBullet"/>
      </w:pPr>
      <w:r>
        <w:t>Modular Planner — quantum workload planning reference implementation.</w:t>
      </w:r>
    </w:p>
    <w:p>
      <w:pPr>
        <w:pStyle w:val="ListBullet"/>
      </w:pPr>
      <w:r>
        <w:t>MIT-derived learning and patterns — technical knowledge and research inputs.</w:t>
      </w:r>
    </w:p>
    <w:p>
      <w:pPr>
        <w:pStyle w:val="ListBullet"/>
      </w:pPr>
      <w:r>
        <w:t>Domain pilots — scenarios, workflows and acceptance criteria.</w:t>
      </w:r>
    </w:p>
    <w:p>
      <w:pPr>
        <w:pStyle w:val="Heading1"/>
      </w:pPr>
      <w:r>
        <w:t>7. Proposed QAI Lab Workspace</w:t>
      </w:r>
    </w:p>
    <w:p>
      <w:r>
        <w:t>A proposed VS Code workspace skeleton is:</w:t>
      </w:r>
    </w:p>
    <w:p>
      <w:r>
        <w:rPr>
          <w:rFonts w:ascii="Consolas" w:hAnsi="Consolas"/>
          <w:sz w:val="18"/>
        </w:rPr>
        <w:t>qai_lab/</w:t>
        <w:br/>
        <w:t>├── README.md</w:t>
        <w:br/>
        <w:t>├── experiment_acceleration_kit/</w:t>
        <w:br/>
        <w:t>│   ├── templates/</w:t>
        <w:br/>
        <w:t>│   ├── resources/</w:t>
        <w:br/>
        <w:t>│   └── bootstrap/</w:t>
        <w:br/>
        <w:t>├── tracks/</w:t>
        <w:br/>
        <w:t>│   ├── quantum_computing/</w:t>
        <w:br/>
        <w:t>│   ├── quantum_communication/</w:t>
        <w:br/>
        <w:t>│   ├── software_engineering/</w:t>
        <w:br/>
        <w:t>│   ├── systems_engineering/</w:t>
        <w:br/>
        <w:t>│   └── domain/</w:t>
        <w:br/>
        <w:t>├── codesign/</w:t>
        <w:br/>
        <w:t>│   ├── methodology/</w:t>
        <w:br/>
        <w:t>│   ├── workflows/</w:t>
        <w:br/>
        <w:t>│   ├── templates/</w:t>
        <w:br/>
        <w:t>│   └── examples/</w:t>
        <w:br/>
        <w:t>├── asset_fabric/</w:t>
        <w:br/>
        <w:t>│   ├── asset_registry/</w:t>
        <w:br/>
        <w:t>│   ├── interfaces/</w:t>
        <w:br/>
        <w:t>│   ├── api_contracts/</w:t>
        <w:br/>
        <w:t>│   ├── adapters/</w:t>
        <w:br/>
        <w:t>│   ├── resource_fabric/</w:t>
        <w:br/>
        <w:t>│   ├── control_planes/</w:t>
        <w:br/>
        <w:t>│   ├── factory_services/</w:t>
        <w:br/>
        <w:t>│   ├── notebooks/</w:t>
        <w:br/>
        <w:t>│   ├── virtual_assets/</w:t>
        <w:br/>
        <w:t>│   └── execution_services/</w:t>
        <w:br/>
        <w:t>├── experiments/</w:t>
        <w:br/>
        <w:t>│   ├── active/</w:t>
        <w:br/>
        <w:t>│   ├── completed/</w:t>
        <w:br/>
        <w:t>│   ├── baselines/</w:t>
        <w:br/>
        <w:t>│   ├── results/</w:t>
        <w:br/>
        <w:t>│   └── evidence/</w:t>
        <w:br/>
        <w:t>└── reference_implementations/</w:t>
        <w:br/>
        <w:t xml:space="preserve">    ├── quantum/</w:t>
        <w:br/>
        <w:t xml:space="preserve">    ├── communication/</w:t>
        <w:br/>
        <w:t xml:space="preserve">    ├── software/</w:t>
        <w:br/>
        <w:t xml:space="preserve">    └── systems/</w:t>
      </w:r>
    </w:p>
    <w:p>
      <w:pPr>
        <w:pStyle w:val="Heading1"/>
      </w:pPr>
      <w:r>
        <w:t>8. Experiment Acceleration Kit</w:t>
      </w:r>
    </w:p>
    <w:p>
      <w:r>
        <w:t>The Experiment Acceleration Kit is the reusable front door to the Lab. It should contain ready-to-use templates, code samples, resource descriptions, bootstrapping schemes and reference implementations that help clients and delivery teams move from problem definition to evidence.</w:t>
      </w:r>
    </w:p>
    <w:p>
      <w:pPr>
        <w:pStyle w:val="ListBullet"/>
      </w:pPr>
      <w:r>
        <w:t>Client problem and objective templates.</w:t>
      </w:r>
    </w:p>
    <w:p>
      <w:pPr>
        <w:pStyle w:val="ListBullet"/>
      </w:pPr>
      <w:r>
        <w:t>Experiment canvas and scenario templates.</w:t>
      </w:r>
    </w:p>
    <w:p>
      <w:pPr>
        <w:pStyle w:val="ListBullet"/>
      </w:pPr>
      <w:r>
        <w:t>Objectives, constraints and success-criteria templates.</w:t>
      </w:r>
    </w:p>
    <w:p>
      <w:pPr>
        <w:pStyle w:val="ListBullet"/>
      </w:pPr>
      <w:r>
        <w:t>Hypothesis, experiment-plan and evidence-record templates.</w:t>
      </w:r>
    </w:p>
    <w:p>
      <w:pPr>
        <w:pStyle w:val="ListBullet"/>
      </w:pPr>
      <w:r>
        <w:t>Decision and roadmap templates.</w:t>
      </w:r>
    </w:p>
    <w:p>
      <w:pPr>
        <w:pStyle w:val="ListBullet"/>
      </w:pPr>
      <w:r>
        <w:t>Classical, AI/ML, quantum, communication, software and systems resources.</w:t>
      </w:r>
    </w:p>
    <w:p>
      <w:pPr>
        <w:pStyle w:val="ListBullet"/>
      </w:pPr>
      <w:r>
        <w:t>Project, experiment, developer and domain bootstrap schemes.</w:t>
      </w:r>
    </w:p>
    <w:p>
      <w:pPr>
        <w:pStyle w:val="Heading1"/>
      </w:pPr>
      <w:r>
        <w:t>9. Reuse by Interfaces and APIs</w:t>
      </w:r>
    </w:p>
    <w:p>
      <w:r>
        <w:t>The Lab should favour composition through stable interfaces and APIs. Existing QAI Factory pipelines, Resource Fabrics, Control Planes, notebooks, Virtual Assets and execution services should be callable by new Co-Design workflows where appropriate. The objective is to reuse capability without duplicating implementation.</w:t>
      </w:r>
    </w:p>
    <w:p>
      <w:r>
        <w:t>A conceptual flow is: Problem → Track Selection → Required Capabilities → Asset Registry → Interface/API Resolution → Experiment Composition → Execution → Evidence.</w:t>
      </w:r>
    </w:p>
    <w:p>
      <w:pPr>
        <w:pStyle w:val="Heading1"/>
      </w:pPr>
      <w:r>
        <w:t>10. FTQC-Oriented Experimentation</w:t>
      </w:r>
    </w:p>
    <w:p>
      <w:r>
        <w:t>The current modular planner is a classical mock/reference implementation and should remain explicitly bounded. It does not execute QAOA circuits, physical QPUs, quantum-state transfer, entanglement swapping, QEC or FTQC. Its planner is a basic reference implementation rather than an optimized scheduler.</w:t>
      </w:r>
    </w:p>
    <w:p>
      <w:r>
        <w:t>Its value is as a practical starting point for defining contracts among an Advanced Planner, Resource Fabric, execution sessions and VirtualQubit metadata. Future experiments can compare independent and decomposed workloads using measurable criteria such as solution quality, orchestration overhead, communication/data movement, runtime, aggregation cost and reproducibility.</w:t>
      </w:r>
    </w:p>
    <w:p>
      <w:r>
        <w:t>Quantum capabilities must remain evidence-led. Simulator estimates should be distinguished from physical measurements, and unavailable quantum-network or hardware capabilities should not be assumed.</w:t>
      </w:r>
    </w:p>
    <w:p>
      <w:pPr>
        <w:pStyle w:val="Heading1"/>
      </w:pPr>
      <w:r>
        <w:t>11. Experimentation and Evidence Model</w:t>
      </w:r>
    </w:p>
    <w:p>
      <w:pPr>
        <w:pStyle w:val="ListBullet"/>
      </w:pPr>
      <w:r>
        <w:t>Establish a classical baseline where appropriate.</w:t>
      </w:r>
    </w:p>
    <w:p>
      <w:pPr>
        <w:pStyle w:val="ListBullet"/>
      </w:pPr>
      <w:r>
        <w:t>Define measurable objectives, constraints and stop conditions.</w:t>
      </w:r>
    </w:p>
    <w:p>
      <w:pPr>
        <w:pStyle w:val="ListBullet"/>
      </w:pPr>
      <w:r>
        <w:t>Select simulation, emulation or physical execution according to available resources.</w:t>
      </w:r>
    </w:p>
    <w:p>
      <w:pPr>
        <w:pStyle w:val="ListBullet"/>
      </w:pPr>
      <w:r>
        <w:t>Record configurations, resources, provenance, results and relevant telemetry.</w:t>
      </w:r>
    </w:p>
    <w:p>
      <w:pPr>
        <w:pStyle w:val="ListBullet"/>
      </w:pPr>
      <w:r>
        <w:t>Compare alternatives and quantify trade-offs.</w:t>
      </w:r>
    </w:p>
    <w:p>
      <w:pPr>
        <w:pStyle w:val="ListBullet"/>
      </w:pPr>
      <w:r>
        <w:t>Distinguish simulated estimates from physical measurements.</w:t>
      </w:r>
    </w:p>
    <w:p>
      <w:pPr>
        <w:pStyle w:val="ListBullet"/>
      </w:pPr>
      <w:r>
        <w:t>Record limitations, rejected approaches and unresolved risks.</w:t>
      </w:r>
    </w:p>
    <w:p>
      <w:pPr>
        <w:pStyle w:val="ListBullet"/>
      </w:pPr>
      <w:r>
        <w:t>Use results to support decisions rather than claiming unsupported technology advantage.</w:t>
      </w:r>
    </w:p>
    <w:p>
      <w:pPr>
        <w:pStyle w:val="Heading1"/>
      </w:pPr>
      <w:r>
        <w:t>12. Client Decision Outcomes</w:t>
      </w:r>
    </w:p>
    <w:p>
      <w:r>
        <w:t>A QAI Lab engagement does not need to end in a quantum product. Evidence may support several outcomes:</w:t>
      </w:r>
    </w:p>
    <w:p>
      <w:pPr>
        <w:pStyle w:val="ListBullet"/>
      </w:pPr>
      <w:r>
        <w:t>Proceed with a new QAI product.</w:t>
      </w:r>
    </w:p>
    <w:p>
      <w:pPr>
        <w:pStyle w:val="ListBullet"/>
      </w:pPr>
      <w:r>
        <w:t>Modernize an existing system using a hybrid or classical-first architecture.</w:t>
      </w:r>
    </w:p>
    <w:p>
      <w:pPr>
        <w:pStyle w:val="ListBullet"/>
      </w:pPr>
      <w:r>
        <w:t>Develop a professional or implementation service capability.</w:t>
      </w:r>
    </w:p>
    <w:p>
      <w:pPr>
        <w:pStyle w:val="ListBullet"/>
      </w:pPr>
      <w:r>
        <w:t>Continue research and investigate an IP opportunity.</w:t>
      </w:r>
    </w:p>
    <w:p>
      <w:pPr>
        <w:pStyle w:val="ListBullet"/>
      </w:pPr>
      <w:r>
        <w:t>Build internal organizational or engineering capacity before product investment.</w:t>
      </w:r>
    </w:p>
    <w:p>
      <w:pPr>
        <w:pStyle w:val="ListBullet"/>
      </w:pPr>
      <w:r>
        <w:t>Defer or reject an approach when evidence does not justify further investment.</w:t>
      </w:r>
    </w:p>
    <w:p>
      <w:pPr>
        <w:pStyle w:val="Heading1"/>
      </w:pPr>
      <w:r>
        <w:t>13. Relationship to the Four Commercial Pillars</w:t>
      </w:r>
    </w:p>
    <w:tbl>
      <w:tblPr>
        <w:tblStyle w:val="TableGrid"/>
        <w:tblW w:type="auto" w:w="0"/>
        <w:tblLook w:firstColumn="1" w:firstRow="1" w:lastColumn="0" w:lastRow="0" w:noHBand="0" w:noVBand="1" w:val="04A0"/>
      </w:tblPr>
      <w:tblGrid>
        <w:gridCol w:w="4968"/>
        <w:gridCol w:w="4968"/>
      </w:tblGrid>
      <w:tr>
        <w:tc>
          <w:tcPr>
            <w:tcW w:type="dxa" w:w="4968"/>
          </w:tcPr>
          <w:p>
            <w:r>
              <w:t>Pillar</w:t>
            </w:r>
          </w:p>
        </w:tc>
        <w:tc>
          <w:tcPr>
            <w:tcW w:type="dxa" w:w="4968"/>
          </w:tcPr>
          <w:p>
            <w:r>
              <w:t>Potential Lab outcome</w:t>
            </w:r>
          </w:p>
        </w:tc>
      </w:tr>
      <w:tr>
        <w:tc>
          <w:tcPr>
            <w:tcW w:type="dxa" w:w="4968"/>
          </w:tcPr>
          <w:p>
            <w:r>
              <w:t>Products</w:t>
            </w:r>
          </w:p>
        </w:tc>
        <w:tc>
          <w:tcPr>
            <w:tcW w:type="dxa" w:w="4968"/>
          </w:tcPr>
          <w:p>
            <w:r>
              <w:t>Evidence-supported product concept, prototype or development roadmap.</w:t>
            </w:r>
          </w:p>
        </w:tc>
      </w:tr>
      <w:tr>
        <w:tc>
          <w:tcPr>
            <w:tcW w:type="dxa" w:w="4968"/>
          </w:tcPr>
          <w:p>
            <w:r>
              <w:t>Modernization</w:t>
            </w:r>
          </w:p>
        </w:tc>
        <w:tc>
          <w:tcPr>
            <w:tcW w:type="dxa" w:w="4968"/>
          </w:tcPr>
          <w:p>
            <w:r>
              <w:t>Technology and architecture assessment for transformation of an existing system.</w:t>
            </w:r>
          </w:p>
        </w:tc>
      </w:tr>
      <w:tr>
        <w:tc>
          <w:tcPr>
            <w:tcW w:type="dxa" w:w="4968"/>
          </w:tcPr>
          <w:p>
            <w:r>
              <w:t>Services</w:t>
            </w:r>
          </w:p>
        </w:tc>
        <w:tc>
          <w:tcPr>
            <w:tcW w:type="dxa" w:w="4968"/>
          </w:tcPr>
          <w:p>
            <w:r>
              <w:t>Reusable consulting, implementation, integration or experimentation capability.</w:t>
            </w:r>
          </w:p>
        </w:tc>
      </w:tr>
      <w:tr>
        <w:tc>
          <w:tcPr>
            <w:tcW w:type="dxa" w:w="4968"/>
          </w:tcPr>
          <w:p>
            <w:r>
              <w:t>Research</w:t>
            </w:r>
          </w:p>
        </w:tc>
        <w:tc>
          <w:tcPr>
            <w:tcW w:type="dxa" w:w="4968"/>
          </w:tcPr>
          <w:p>
            <w:r>
              <w:t>New knowledge, experiments, patterns, potential IP and research roadmap.</w:t>
            </w:r>
          </w:p>
        </w:tc>
      </w:tr>
    </w:tbl>
    <w:p>
      <w:pPr>
        <w:pStyle w:val="Heading1"/>
      </w:pPr>
      <w:r>
        <w:t>14. Post-Pilot Strategic Position</w:t>
      </w:r>
    </w:p>
    <w:p>
      <w:r>
        <w:t>The post-pilot QAI Lab is positioned as a reusable experimentation, co-design and decision-support ecosystem. Its differentiating principle is not simply access to quantum technology; it is the ability to combine multiple engineering and technology paradigms with reusable QAI assets, evidence-driven experimentation and domain context.</w:t>
      </w:r>
    </w:p>
    <w:p>
      <w:r>
        <w:t>Clients can therefore explore technology choices before committing to large implementation programs. The Lab can help them understand feasibility, compare architectures, identify risks and capability gaps, and develop a practical roadmap for future products, services or internal capacity.</w:t>
      </w:r>
    </w:p>
    <w:p>
      <w:pPr>
        <w:pStyle w:val="Heading1"/>
      </w:pPr>
      <w:r>
        <w:t>15. Immediate Development Sequence</w:t>
      </w:r>
    </w:p>
    <w:p>
      <w:pPr>
        <w:pStyle w:val="ListNumber"/>
      </w:pPr>
      <w:r>
        <w:t>Create the QAI Lab VS Code workspace skeleton.</w:t>
      </w:r>
    </w:p>
    <w:p>
      <w:pPr>
        <w:pStyle w:val="ListNumber"/>
      </w:pPr>
      <w:r>
        <w:t>Create the five track structures and Co-Design structure.</w:t>
      </w:r>
    </w:p>
    <w:p>
      <w:pPr>
        <w:pStyle w:val="ListNumber"/>
      </w:pPr>
      <w:r>
        <w:t>Create the Experiment Acceleration Kit templates.</w:t>
      </w:r>
    </w:p>
    <w:p>
      <w:pPr>
        <w:pStyle w:val="ListNumber"/>
      </w:pPr>
      <w:r>
        <w:t>Catalogue existing QAI Lab assets rather than duplicating them.</w:t>
      </w:r>
    </w:p>
    <w:p>
      <w:pPr>
        <w:pStyle w:val="ListNumber"/>
      </w:pPr>
      <w:r>
        <w:t>Define initial asset interfaces/API contracts.</w:t>
      </w:r>
    </w:p>
    <w:p>
      <w:pPr>
        <w:pStyle w:val="ListNumber"/>
      </w:pPr>
      <w:r>
        <w:t>Place the modular planner reference implementation in the General Factory location.</w:t>
      </w:r>
    </w:p>
    <w:p>
      <w:pPr>
        <w:pStyle w:val="ListNumber"/>
      </w:pPr>
      <w:r>
        <w:t>Connect one existing pilot notebook to the Co-Design workflow as a first integration example.</w:t>
      </w:r>
    </w:p>
    <w:p>
      <w:pPr>
        <w:pStyle w:val="ListNumber"/>
      </w:pPr>
      <w:r>
        <w:t>Run a small end-to-end experiment and capture evidence.</w:t>
      </w:r>
    </w:p>
    <w:p>
      <w:pPr>
        <w:pStyle w:val="ListNumber"/>
      </w:pPr>
      <w:r>
        <w:t>Use the Procurement Readiness Gaps and Action Roadmap to identify the next capability gaps.</w:t>
      </w:r>
    </w:p>
    <w:p>
      <w:pPr>
        <w:pStyle w:val="Heading1"/>
      </w:pPr>
      <w:r>
        <w:t>16. Working Guardrails</w:t>
      </w:r>
    </w:p>
    <w:p>
      <w:pPr>
        <w:pStyle w:val="ListBullet"/>
      </w:pPr>
      <w:r>
        <w:t>Do not claim implementation, deployment or quantum advantage without evidence.</w:t>
      </w:r>
    </w:p>
    <w:p>
      <w:pPr>
        <w:pStyle w:val="ListBullet"/>
      </w:pPr>
      <w:r>
        <w:t>Keep conceptual, simulated, demonstrated and physical capabilities clearly separated.</w:t>
      </w:r>
    </w:p>
    <w:p>
      <w:pPr>
        <w:pStyle w:val="ListBullet"/>
      </w:pPr>
      <w:r>
        <w:t>Prefer reuse through interfaces and APIs over copying assets.</w:t>
      </w:r>
    </w:p>
    <w:p>
      <w:pPr>
        <w:pStyle w:val="ListBullet"/>
      </w:pPr>
      <w:r>
        <w:t>Keep domain-specific experiments separate from General Factory contracts.</w:t>
      </w:r>
    </w:p>
    <w:p>
      <w:pPr>
        <w:pStyle w:val="ListBullet"/>
      </w:pPr>
      <w:r>
        <w:t>Treat quantum capabilities as optional and evidence-led where the problem justifies them.</w:t>
      </w:r>
    </w:p>
    <w:p>
      <w:pPr>
        <w:pStyle w:val="ListBullet"/>
      </w:pPr>
      <w:r>
        <w:t>Preserve provenance and reproducibility for experiments.</w:t>
      </w:r>
    </w:p>
    <w:p>
      <w:pPr>
        <w:pStyle w:val="ListBullet"/>
      </w:pPr>
      <w:r>
        <w:t>Use client-specific security, data, IP, confidentiality and procurement constraints when composing experiments.</w:t>
      </w:r>
    </w:p>
    <w:p>
      <w:pPr>
        <w:pStyle w:val="ListBullet"/>
      </w:pPr>
      <w:r>
        <w:t>Treat the workspace structure as a proposed post-pilot architecture until implemented and validated.</w:t>
      </w:r>
    </w:p>
    <w:p>
      <w:pPr>
        <w:pStyle w:val="Heading1"/>
      </w:pPr>
      <w:r>
        <w:t>17. Closing</w:t>
      </w:r>
    </w:p>
    <w:p>
      <w:r>
        <w:t>This updated strategy turns the post-pilot QAI Lab from a collection of technology demonstrations into a structured environment for multi-track experimentation and co-design. The combination of separate technology tracks, domain context, reusable QAI assets, interface/API-based composition, technical reference implementations and evidence-driven decision making provides a foundation for progressively building a practical client-facing experimentation ecosystem.</w:t>
      </w:r>
    </w:p>
    <w:p>
      <w:r>
        <w:t>The immediate objective is not to build every capability at once. It is to organize and connect what already exists, establish reusable contracts, demonstrate one or more end-to-end Co-Design workflows, and use evidence to guide the next stage of development.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Bhadale IT | QAI Lab • Post-Pilot Updated Strategy •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