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POST-PILOT QAI LAB</w:t>
        <w:br/>
        <w:t>UPDATED STRATEGY — VERSION 2</w:t>
      </w:r>
    </w:p>
    <w:p>
      <w:pPr>
        <w:jc w:val="center"/>
      </w:pPr>
      <w:r>
        <w:rPr>
          <w:i/>
        </w:rPr>
        <w:t>QAI Asset Fabric • QAI Lab as a Service • Tracks • Working Groups • Co-Design</w:t>
      </w:r>
    </w:p>
    <w:p>
      <w:pPr>
        <w:jc w:val="center"/>
      </w:pPr>
      <w:r>
        <w:rPr>
          <w:b/>
        </w:rPr>
        <w:t>Bhadale IT • Working Strategy • 5 October 2026</w:t>
      </w:r>
    </w:p>
    <w:p>
      <w:pPr>
        <w:pStyle w:val="Heading1"/>
      </w:pPr>
      <w:r>
        <w:t>1. Executive Position</w:t>
      </w:r>
    </w:p>
    <w:p>
      <w:r>
        <w:t>The post-pilot QAI Lab is envisioned as a flagship Bhadale IT offer for client experimentation, technology discovery, engineering co-design and evidence-based decision making. It is not simply a collection of demonstrations or a quantum-only laboratory. It provides a governed environment in which clients can start from a problem, select one or more capability tracks, reuse QAI and enterprise assets, run experiments and develop a practical roadmap.</w:t>
      </w:r>
    </w:p>
    <w:p>
      <w:r>
        <w:t>The operating model should remain deliberately lightweight. Tracks provide broad and relatively stable capability organization; Working Groups provide focused project or experiment execution; Co-Design connects one or more tracks around a client problem.</w:t>
      </w:r>
    </w:p>
    <w:p>
      <w:pPr>
        <w:pStyle w:val="Heading1"/>
      </w:pPr>
      <w:r>
        <w:t>2. QAI Lab as a Service</w:t>
      </w:r>
    </w:p>
    <w:p>
      <w:r>
        <w:t>QAI Lab as a Service (QAI LabaaS) can be positioned above conventional SaaS, PaaS and IaaS consumption. It does not replace those cloud models. Instead, it provides a higher-level co-design and experimentation environment that can discover, compose and use cloud services, private enterprise libraries and QAI assets through APIs and interfaces.</w:t>
      </w:r>
    </w:p>
    <w:p>
      <w:r>
        <w:t>The service can be customized to use cloud libraries, a client's private library, or a controlled combination of both. It can operate as a cloud model, standalone enterprise model, hybrid model or air-gapped environment with limited connectivity.</w:t>
      </w:r>
    </w:p>
    <w:p>
      <w:pPr>
        <w:pStyle w:val="Heading1"/>
      </w:pPr>
      <w:r>
        <w:t>3. Deployment Models</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Asset/Service Source</w:t>
            </w:r>
          </w:p>
        </w:tc>
        <w:tc>
          <w:tcPr>
            <w:tcW w:type="dxa" w:w="3312"/>
          </w:tcPr>
          <w:p>
            <w:r>
              <w:t>Typical Context</w:t>
            </w:r>
          </w:p>
        </w:tc>
      </w:tr>
      <w:tr>
        <w:tc>
          <w:tcPr>
            <w:tcW w:type="dxa" w:w="3312"/>
          </w:tcPr>
          <w:p>
            <w:r>
              <w:t>Cloud QAI Lab</w:t>
            </w:r>
          </w:p>
        </w:tc>
        <w:tc>
          <w:tcPr>
            <w:tcW w:type="dxa" w:w="3312"/>
          </w:tcPr>
          <w:p>
            <w:r>
              <w:t>Cloud-hosted libraries and managed services</w:t>
            </w:r>
          </w:p>
        </w:tc>
        <w:tc>
          <w:tcPr>
            <w:tcW w:type="dxa" w:w="3312"/>
          </w:tcPr>
          <w:p>
            <w:r>
              <w:t>Multi-client/cloud experimentation</w:t>
            </w:r>
          </w:p>
        </w:tc>
      </w:tr>
      <w:tr>
        <w:tc>
          <w:tcPr>
            <w:tcW w:type="dxa" w:w="3312"/>
          </w:tcPr>
          <w:p>
            <w:r>
              <w:t>Enterprise QAI Lab</w:t>
            </w:r>
          </w:p>
        </w:tc>
        <w:tc>
          <w:tcPr>
            <w:tcW w:type="dxa" w:w="3312"/>
          </w:tcPr>
          <w:p>
            <w:r>
              <w:t>Private enterprise libraries and infrastructure</w:t>
            </w:r>
          </w:p>
        </w:tc>
        <w:tc>
          <w:tcPr>
            <w:tcW w:type="dxa" w:w="3312"/>
          </w:tcPr>
          <w:p>
            <w:r>
              <w:t>Controlled enterprise environment</w:t>
            </w:r>
          </w:p>
        </w:tc>
      </w:tr>
      <w:tr>
        <w:tc>
          <w:tcPr>
            <w:tcW w:type="dxa" w:w="3312"/>
          </w:tcPr>
          <w:p>
            <w:r>
              <w:t>Hybrid QAI Lab</w:t>
            </w:r>
          </w:p>
        </w:tc>
        <w:tc>
          <w:tcPr>
            <w:tcW w:type="dxa" w:w="3312"/>
          </w:tcPr>
          <w:p>
            <w:r>
              <w:t>Cloud plus private libraries</w:t>
            </w:r>
          </w:p>
        </w:tc>
        <w:tc>
          <w:tcPr>
            <w:tcW w:type="dxa" w:w="3312"/>
          </w:tcPr>
          <w:p>
            <w:r>
              <w:t>Selective cloud/private composition</w:t>
            </w:r>
          </w:p>
        </w:tc>
      </w:tr>
      <w:tr>
        <w:tc>
          <w:tcPr>
            <w:tcW w:type="dxa" w:w="3312"/>
          </w:tcPr>
          <w:p>
            <w:r>
              <w:t>Air-Gapped QAI Lab</w:t>
            </w:r>
          </w:p>
        </w:tc>
        <w:tc>
          <w:tcPr>
            <w:tcW w:type="dxa" w:w="3312"/>
          </w:tcPr>
          <w:p>
            <w:r>
              <w:t>Local controlled libraries and limited connectivity</w:t>
            </w:r>
          </w:p>
        </w:tc>
        <w:tc>
          <w:tcPr>
            <w:tcW w:type="dxa" w:w="3312"/>
          </w:tcPr>
          <w:p>
            <w:r>
              <w:t>Sensitive or isolated environments</w:t>
            </w:r>
          </w:p>
        </w:tc>
      </w:tr>
      <w:tr>
        <w:tc>
          <w:tcPr>
            <w:tcW w:type="dxa" w:w="3312"/>
          </w:tcPr>
          <w:p>
            <w:r>
              <w:t>Managed QAI Lab</w:t>
            </w:r>
          </w:p>
        </w:tc>
        <w:tc>
          <w:tcPr>
            <w:tcW w:type="dxa" w:w="3312"/>
          </w:tcPr>
          <w:p>
            <w:r>
              <w:t>Bhadale IT-managed environment</w:t>
            </w:r>
          </w:p>
        </w:tc>
        <w:tc>
          <w:tcPr>
            <w:tcW w:type="dxa" w:w="3312"/>
          </w:tcPr>
          <w:p>
            <w:r>
              <w:t>Clients seeking managed experimentation</w:t>
            </w:r>
          </w:p>
        </w:tc>
      </w:tr>
      <w:tr>
        <w:tc>
          <w:tcPr>
            <w:tcW w:type="dxa" w:w="3312"/>
          </w:tcPr>
          <w:p>
            <w:r>
              <w:t>Client-Managed QAI Lab</w:t>
            </w:r>
          </w:p>
        </w:tc>
        <w:tc>
          <w:tcPr>
            <w:tcW w:type="dxa" w:w="3312"/>
          </w:tcPr>
          <w:p>
            <w:r>
              <w:t>Client-operated environment using approved QAI assets</w:t>
            </w:r>
          </w:p>
        </w:tc>
        <w:tc>
          <w:tcPr>
            <w:tcW w:type="dxa" w:w="3312"/>
          </w:tcPr>
          <w:p>
            <w:r>
              <w:t>Enterprise internal capability</w:t>
            </w:r>
          </w:p>
        </w:tc>
      </w:tr>
    </w:tbl>
    <w:p>
      <w:pPr>
        <w:pStyle w:val="Heading1"/>
      </w:pPr>
      <w:r>
        <w:t>4. QAI Asset Fabric</w:t>
      </w:r>
    </w:p>
    <w:p>
      <w:r>
        <w:t>The QAI Asset Fabric is the reusable foundation behind the Lab. Its initial role is to maintain a curated inventory or registry of key assets. Dynamic discovery of newer updates can be considered as a future capability and is not required for the current scope.</w:t>
      </w:r>
    </w:p>
    <w:p>
      <w:pPr>
        <w:pStyle w:val="ListBullet"/>
      </w:pPr>
      <w:r>
        <w:t>General Framework</w:t>
      </w:r>
    </w:p>
    <w:p>
      <w:pPr>
        <w:pStyle w:val="ListBullet"/>
      </w:pPr>
      <w:r>
        <w:t>General Factory</w:t>
      </w:r>
    </w:p>
    <w:p>
      <w:pPr>
        <w:pStyle w:val="ListBullet"/>
      </w:pPr>
      <w:r>
        <w:t>Reference Implementation samples</w:t>
      </w:r>
    </w:p>
    <w:p>
      <w:pPr>
        <w:pStyle w:val="ListBullet"/>
      </w:pPr>
      <w:r>
        <w:t>QAI frameworks and reusable libraries</w:t>
      </w:r>
    </w:p>
    <w:p>
      <w:pPr>
        <w:pStyle w:val="ListBullet"/>
      </w:pPr>
      <w:r>
        <w:t>IDE/workspace components</w:t>
      </w:r>
    </w:p>
    <w:p>
      <w:pPr>
        <w:pStyle w:val="ListBullet"/>
      </w:pPr>
      <w:r>
        <w:t>Development and engineering tools</w:t>
      </w:r>
    </w:p>
    <w:p>
      <w:pPr>
        <w:pStyle w:val="ListBullet"/>
      </w:pPr>
      <w:r>
        <w:t>Bootstrap scripts and project starters</w:t>
      </w:r>
    </w:p>
    <w:p>
      <w:pPr>
        <w:pStyle w:val="ListBullet"/>
      </w:pPr>
      <w:r>
        <w:t>Templates and notebooks</w:t>
      </w:r>
    </w:p>
    <w:p>
      <w:pPr>
        <w:pStyle w:val="ListBullet"/>
      </w:pPr>
      <w:r>
        <w:t>Resource Fabrics</w:t>
      </w:r>
    </w:p>
    <w:p>
      <w:pPr>
        <w:pStyle w:val="ListBullet"/>
      </w:pPr>
      <w:r>
        <w:t>Control Planes</w:t>
      </w:r>
    </w:p>
    <w:p>
      <w:pPr>
        <w:pStyle w:val="ListBullet"/>
      </w:pPr>
      <w:r>
        <w:t>Virtual Assets</w:t>
      </w:r>
    </w:p>
    <w:p>
      <w:pPr>
        <w:pStyle w:val="ListBullet"/>
      </w:pPr>
      <w:r>
        <w:t>Enterprise library assets</w:t>
      </w:r>
    </w:p>
    <w:p>
      <w:pPr>
        <w:pStyle w:val="ListBullet"/>
      </w:pPr>
      <w:r>
        <w:t>Domain-specific assets</w:t>
      </w:r>
    </w:p>
    <w:p>
      <w:pPr>
        <w:pStyle w:val="ListBullet"/>
      </w:pPr>
      <w:r>
        <w:t>APIs, interfaces and adapters</w:t>
      </w:r>
    </w:p>
    <w:p>
      <w:r>
        <w:t>The guiding principle is reuse by composition rather than copying. Existing assets should be modularized where practical and made accessible through defined interfaces and APIs.</w:t>
      </w:r>
    </w:p>
    <w:p>
      <w:pPr>
        <w:pStyle w:val="Heading1"/>
      </w:pPr>
      <w:r>
        <w:t>5. Asset Fabric Conceptual Flow</w:t>
      </w:r>
    </w:p>
    <w:p>
      <w:r>
        <w:t>Problem → Track Selection → Required Capabilities → Asset Registry → Interface/API Resolution → Experiment Composition → Execution → Evidence.</w:t>
      </w:r>
    </w:p>
    <w:p>
      <w:r>
        <w:t>The Asset Fabric therefore becomes a bridge between the Lab's human-facing Co-Design process and the underlying technical assets.</w:t>
      </w:r>
    </w:p>
    <w:p>
      <w:pPr>
        <w:pStyle w:val="Heading1"/>
      </w:pPr>
      <w:r>
        <w:t>6. Tracks</w:t>
      </w:r>
    </w:p>
    <w:p>
      <w:r>
        <w:t>The Lab should retain separate broad tracks rather than forcing all work into a single generic experimentation track. Clients may select one track or a hybrid combination.</w:t>
      </w:r>
    </w:p>
    <w:tbl>
      <w:tblPr>
        <w:tblStyle w:val="TableGrid"/>
        <w:tblW w:type="auto" w:w="0"/>
        <w:tblLook w:firstColumn="1" w:firstRow="1" w:lastColumn="0" w:lastRow="0" w:noHBand="0" w:noVBand="1" w:val="04A0"/>
      </w:tblPr>
      <w:tblGrid>
        <w:gridCol w:w="4968"/>
        <w:gridCol w:w="4968"/>
      </w:tblGrid>
      <w:tr>
        <w:tc>
          <w:tcPr>
            <w:tcW w:type="dxa" w:w="4968"/>
          </w:tcPr>
          <w:p>
            <w:r>
              <w:t>Track</w:t>
            </w:r>
          </w:p>
        </w:tc>
        <w:tc>
          <w:tcPr>
            <w:tcW w:type="dxa" w:w="4968"/>
          </w:tcPr>
          <w:p>
            <w:r>
              <w:t>Focus</w:t>
            </w:r>
          </w:p>
        </w:tc>
      </w:tr>
      <w:tr>
        <w:tc>
          <w:tcPr>
            <w:tcW w:type="dxa" w:w="4968"/>
          </w:tcPr>
          <w:p>
            <w:r>
              <w:t>Quantum Computing</w:t>
            </w:r>
          </w:p>
        </w:tc>
        <w:tc>
          <w:tcPr>
            <w:tcW w:type="dxa" w:w="4968"/>
          </w:tcPr>
          <w:p>
            <w:r>
              <w:t>Quantum and hybrid computation, algorithms, simulation, emulation, QEC/FTQC and resource management.</w:t>
            </w:r>
          </w:p>
        </w:tc>
      </w:tr>
      <w:tr>
        <w:tc>
          <w:tcPr>
            <w:tcW w:type="dxa" w:w="4968"/>
          </w:tcPr>
          <w:p>
            <w:r>
              <w:t>Quantum Communication</w:t>
            </w:r>
          </w:p>
        </w:tc>
        <w:tc>
          <w:tcPr>
            <w:tcW w:type="dxa" w:w="4968"/>
          </w:tcPr>
          <w:p>
            <w:r>
              <w:t>QKD, quantum networking, entanglement-related mechanisms, transduction, protocols and classical–quantum interfaces.</w:t>
            </w:r>
          </w:p>
        </w:tc>
      </w:tr>
      <w:tr>
        <w:tc>
          <w:tcPr>
            <w:tcW w:type="dxa" w:w="4968"/>
          </w:tcPr>
          <w:p>
            <w:r>
              <w:t>Software Engineering</w:t>
            </w:r>
          </w:p>
        </w:tc>
        <w:tc>
          <w:tcPr>
            <w:tcW w:type="dxa" w:w="4968"/>
          </w:tcPr>
          <w:p>
            <w:r>
              <w:t>Application, data and AI/ML engineering, architecture, DevSecOps, testing, validation, observability and integration.</w:t>
            </w:r>
          </w:p>
        </w:tc>
      </w:tr>
      <w:tr>
        <w:tc>
          <w:tcPr>
            <w:tcW w:type="dxa" w:w="4968"/>
          </w:tcPr>
          <w:p>
            <w:r>
              <w:t>Systems Engineering</w:t>
            </w:r>
          </w:p>
        </w:tc>
        <w:tc>
          <w:tcPr>
            <w:tcW w:type="dxa" w:w="4968"/>
          </w:tcPr>
          <w:p>
            <w:r>
              <w:t>Requirements, architecture, system models, interfaces, verification/validation, assurance and lifecycle engineering.</w:t>
            </w:r>
          </w:p>
        </w:tc>
      </w:tr>
      <w:tr>
        <w:tc>
          <w:tcPr>
            <w:tcW w:type="dxa" w:w="4968"/>
          </w:tcPr>
          <w:p>
            <w:r>
              <w:t>Domain</w:t>
            </w:r>
          </w:p>
        </w:tc>
        <w:tc>
          <w:tcPr>
            <w:tcW w:type="dxa" w:w="4968"/>
          </w:tcPr>
          <w:p>
            <w:r>
              <w:t>Industry/business problem context, workflows, domain models, constraints, scenarios, outcomes and acceptance criteria.</w:t>
            </w:r>
          </w:p>
        </w:tc>
      </w:tr>
    </w:tbl>
    <w:p>
      <w:pPr>
        <w:pStyle w:val="Heading1"/>
      </w:pPr>
      <w:r>
        <w:t>7. Working Groups Under Tracks</w:t>
      </w:r>
    </w:p>
    <w:p>
      <w:r>
        <w:t>Tracks are intentionally broad. Working Groups sit under tracks and provide a lightweight mechanism for project-focused research, experimentation, capability development or client work. A Working Group can be temporary, reusable or cross-track.</w:t>
      </w:r>
    </w:p>
    <w:p>
      <w:r>
        <w:t>Examples include a Modular Quantum Planner Working Group or FTQC Experimentation Working Group under Quantum Computing; QKD or Quantum Network Models under Quantum Communication; Digital Farm under Domain; or a cross-track Digital Farm Optimization Working Group combining Domain, Systems Engineering, Software Engineering and Quantum Computing.</w:t>
      </w:r>
    </w:p>
    <w:p>
      <w:pPr>
        <w:pStyle w:val="Heading1"/>
      </w:pPr>
      <w:r>
        <w:t>8. Lightweight Hierarchy</w:t>
      </w:r>
    </w:p>
    <w:p>
      <w:r>
        <w:t>The recommended post-pilot hierarchy is intentionally simple:</w:t>
      </w:r>
    </w:p>
    <w:p>
      <w:r>
        <w:t>QAI LAB → Tracks → Working Groups</w:t>
      </w:r>
    </w:p>
    <w:p>
      <w:r>
        <w:t>Co-Design, QAI Asset Fabric, Experiment Acceleration Kit and Experiments/Evidence operate across the tracks. This avoids recreating a heavy Program → Portfolio → Track → Workstream → Working Group → Project hierarchy when the Lab's current objective is experimentation and capability development.</w:t>
      </w:r>
    </w:p>
    <w:p>
      <w:pPr>
        <w:pStyle w:val="Heading1"/>
      </w:pPr>
      <w:r>
        <w:t>9. Co-Design</w:t>
      </w:r>
    </w:p>
    <w:p>
      <w:r>
        <w:t>Co-Design is the mechanism for bringing one or more tracks and Working Groups together around a client problem.</w:t>
      </w:r>
    </w:p>
    <w:p>
      <w:r>
        <w:t>CLIENT PROBLEM → DOMAIN UNDERSTANDING → OBJECTIVES &amp; CONSTRAINTS → TRACK SELECTION → SINGLE/HYBRID TRACK → ARCHITECTURE CO-DESIGN → CLASSICAL BASELINE → EXPERIMENT DESIGN → REFERENCE IMPLEMENTATION → SIMULATION/EMULATION/PHYSICAL TEST → EVIDENCE → TRADE-OFF ANALYSIS → DECISION → ROADMAP</w:t>
      </w:r>
    </w:p>
    <w:p>
      <w:r>
        <w:t>A client does not need to know the implementation technology at the start. The Lab should help determine whether a classical, AI/ML, quantum, communication, software, systems or hybrid approach is appropriate.</w:t>
      </w:r>
    </w:p>
    <w:p>
      <w:pPr>
        <w:pStyle w:val="Heading1"/>
      </w:pPr>
      <w:r>
        <w:t>10. Non-Technical Designer to Technical Developer</w:t>
      </w:r>
    </w:p>
    <w:tbl>
      <w:tblPr>
        <w:tblStyle w:val="TableGrid"/>
        <w:tblW w:type="auto" w:w="0"/>
        <w:tblLook w:firstColumn="1" w:firstRow="1" w:lastColumn="0" w:lastRow="0" w:noHBand="0" w:noVBand="1" w:val="04A0"/>
      </w:tblPr>
      <w:tblGrid>
        <w:gridCol w:w="3312"/>
        <w:gridCol w:w="3312"/>
        <w:gridCol w:w="3312"/>
      </w:tblGrid>
      <w:tr>
        <w:tc>
          <w:tcPr>
            <w:tcW w:type="dxa" w:w="3312"/>
          </w:tcPr>
          <w:p>
            <w:r>
              <w:t>Level</w:t>
            </w:r>
          </w:p>
        </w:tc>
        <w:tc>
          <w:tcPr>
            <w:tcW w:type="dxa" w:w="3312"/>
          </w:tcPr>
          <w:p>
            <w:r>
              <w:t>Role</w:t>
            </w:r>
          </w:p>
        </w:tc>
        <w:tc>
          <w:tcPr>
            <w:tcW w:type="dxa" w:w="3312"/>
          </w:tcPr>
          <w:p>
            <w:r>
              <w:t>Activity</w:t>
            </w:r>
          </w:p>
        </w:tc>
      </w:tr>
      <w:tr>
        <w:tc>
          <w:tcPr>
            <w:tcW w:type="dxa" w:w="3312"/>
          </w:tcPr>
          <w:p>
            <w:r>
              <w:t>1</w:t>
            </w:r>
          </w:p>
        </w:tc>
        <w:tc>
          <w:tcPr>
            <w:tcW w:type="dxa" w:w="3312"/>
          </w:tcPr>
          <w:p>
            <w:r>
              <w:t>Client / Business / Domain Designer</w:t>
            </w:r>
          </w:p>
        </w:tc>
        <w:tc>
          <w:tcPr>
            <w:tcW w:type="dxa" w:w="3312"/>
          </w:tcPr>
          <w:p>
            <w:r>
              <w:t>Define the problem, desired outcome, constraints, scenarios and success criteria.</w:t>
            </w:r>
          </w:p>
        </w:tc>
      </w:tr>
      <w:tr>
        <w:tc>
          <w:tcPr>
            <w:tcW w:type="dxa" w:w="3312"/>
          </w:tcPr>
          <w:p>
            <w:r>
              <w:t>2</w:t>
            </w:r>
          </w:p>
        </w:tc>
        <w:tc>
          <w:tcPr>
            <w:tcW w:type="dxa" w:w="3312"/>
          </w:tcPr>
          <w:p>
            <w:r>
              <w:t>QAI Co-Designer</w:t>
            </w:r>
          </w:p>
        </w:tc>
        <w:tc>
          <w:tcPr>
            <w:tcW w:type="dxa" w:w="3312"/>
          </w:tcPr>
          <w:p>
            <w:r>
              <w:t>Select tracks, identify capabilities, compare architectures and design the experiment.</w:t>
            </w:r>
          </w:p>
        </w:tc>
      </w:tr>
      <w:tr>
        <w:tc>
          <w:tcPr>
            <w:tcW w:type="dxa" w:w="3312"/>
          </w:tcPr>
          <w:p>
            <w:r>
              <w:t>3</w:t>
            </w:r>
          </w:p>
        </w:tc>
        <w:tc>
          <w:tcPr>
            <w:tcW w:type="dxa" w:w="3312"/>
          </w:tcPr>
          <w:p>
            <w:r>
              <w:t>Technical Developer</w:t>
            </w:r>
          </w:p>
        </w:tc>
        <w:tc>
          <w:tcPr>
            <w:tcW w:type="dxa" w:w="3312"/>
          </w:tcPr>
          <w:p>
            <w:r>
              <w:t>Translate the design into IDE workflows, code, configuration, adapters and tests.</w:t>
            </w:r>
          </w:p>
        </w:tc>
      </w:tr>
      <w:tr>
        <w:tc>
          <w:tcPr>
            <w:tcW w:type="dxa" w:w="3312"/>
          </w:tcPr>
          <w:p>
            <w:r>
              <w:t>4</w:t>
            </w:r>
          </w:p>
        </w:tc>
        <w:tc>
          <w:tcPr>
            <w:tcW w:type="dxa" w:w="3312"/>
          </w:tcPr>
          <w:p>
            <w:r>
              <w:t>Evidence &amp; Decision</w:t>
            </w:r>
          </w:p>
        </w:tc>
        <w:tc>
          <w:tcPr>
            <w:tcW w:type="dxa" w:w="3312"/>
          </w:tcPr>
          <w:p>
            <w:r>
              <w:t>Evaluate quality, cost, risk, reproducibility and next actions.</w:t>
            </w:r>
          </w:p>
        </w:tc>
      </w:tr>
    </w:tbl>
    <w:p>
      <w:pPr>
        <w:pStyle w:val="Heading1"/>
      </w:pPr>
      <w:r>
        <w:t>11. Experiment Acceleration Kit</w:t>
      </w:r>
    </w:p>
    <w:p>
      <w:r>
        <w:t>The Experiment Acceleration Kit is the reusable front door to the Lab. It contains templates, resources, code samples, bootstrap schemes and reference implementations that accelerate experimentation.</w:t>
      </w:r>
    </w:p>
    <w:p>
      <w:pPr>
        <w:pStyle w:val="ListBullet"/>
      </w:pPr>
      <w:r>
        <w:t>Client problem and objective templates</w:t>
      </w:r>
    </w:p>
    <w:p>
      <w:pPr>
        <w:pStyle w:val="ListBullet"/>
      </w:pPr>
      <w:r>
        <w:t>Experiment canvas and scenario templates</w:t>
      </w:r>
    </w:p>
    <w:p>
      <w:pPr>
        <w:pStyle w:val="ListBullet"/>
      </w:pPr>
      <w:r>
        <w:t>Objectives, constraints and success criteria</w:t>
      </w:r>
    </w:p>
    <w:p>
      <w:pPr>
        <w:pStyle w:val="ListBullet"/>
      </w:pPr>
      <w:r>
        <w:t>Hypothesis and experiment-plan templates</w:t>
      </w:r>
    </w:p>
    <w:p>
      <w:pPr>
        <w:pStyle w:val="ListBullet"/>
      </w:pPr>
      <w:r>
        <w:t>Evidence and provenance records</w:t>
      </w:r>
    </w:p>
    <w:p>
      <w:pPr>
        <w:pStyle w:val="ListBullet"/>
      </w:pPr>
      <w:r>
        <w:t>Decision and roadmap templates</w:t>
      </w:r>
    </w:p>
    <w:p>
      <w:pPr>
        <w:pStyle w:val="ListBullet"/>
      </w:pPr>
      <w:r>
        <w:t>Classical, AI/ML, quantum, communication, software and systems resources</w:t>
      </w:r>
    </w:p>
    <w:p>
      <w:pPr>
        <w:pStyle w:val="ListBullet"/>
      </w:pPr>
      <w:r>
        <w:t>Project, experiment, developer and domain bootstrap schemes</w:t>
      </w:r>
    </w:p>
    <w:p>
      <w:pPr>
        <w:pStyle w:val="Heading1"/>
      </w:pPr>
      <w:r>
        <w:t>12. Reuse of Existing QAI Lab Assets</w:t>
      </w:r>
    </w:p>
    <w:p>
      <w:r>
        <w:t>The Lab can reuse earlier pilot notebooks, QAI Factory pipelines, Resource Fabrics, Control Planes, Virtual Assets, General Framework components, General Factory services, reference implementations and domain assets through interfaces and API calls. The objective is to make existing work composable rather than creating duplicate implementations for each client experiment.</w:t>
      </w:r>
    </w:p>
    <w:p>
      <w:r>
        <w:t>Potential asset roles include: pilot notebooks as experiment starting points; QAI Factory pipelines as orchestration; Resource Fabrics for resource discovery and allocation; Control Planes for policy and governance; Virtual Assets for experiment representation; General Factory for capability-to-implementation resolution; Digital Twin/CPS assets for simulation/emulation; and reference implementations as technical starting points.</w:t>
      </w:r>
    </w:p>
    <w:p>
      <w:pPr>
        <w:pStyle w:val="Heading1"/>
      </w:pPr>
      <w:r>
        <w:t>13. FTQC and Advanced Quantum Experimentation</w:t>
      </w:r>
    </w:p>
    <w:p>
      <w:r>
        <w:t>The current modular planner remains a bounded classical mock/reference implementation. It is not a quantum runtime and does not execute QAOA circuits, physical QPUs, quantum-state transfer, entanglement swapping, QEC or FTQC. It provides a practical starting point for contracts among planning, resource, execution-session and VirtualQubit metadata components.</w:t>
      </w:r>
    </w:p>
    <w:p>
      <w:r>
        <w:t>Future experiments can compare independent and decomposed workloads using solution quality, orchestration overhead, communication/data movement, runtime, aggregation cost and reproducibility. Quantum capabilities remain evidence-led and unavailable hardware/network services are not assumed.</w:t>
      </w:r>
    </w:p>
    <w:p>
      <w:pPr>
        <w:pStyle w:val="Heading1"/>
      </w:pPr>
      <w:r>
        <w:t>14. QAI Lab as a Flagship Offer</w:t>
      </w:r>
    </w:p>
    <w:p>
      <w:r>
        <w:t>QAI Lab as a Service can become a flagship offer for organizations with different industries, roles, technology needs and levels of engineering maturity. It provides a common environment in which domain users, business users, systems engineers, software engineers, researchers and quantum specialists can participate in the same Co-Design process.</w:t>
      </w:r>
    </w:p>
    <w:p>
      <w:r>
        <w:t>The value proposition is not simply access to quantum technology. It is the ability to combine reusable technology and engineering assets with domain context, experimentation, evidence and decision support.</w:t>
      </w:r>
    </w:p>
    <w:p>
      <w:pPr>
        <w:pStyle w:val="Heading1"/>
      </w:pPr>
      <w:r>
        <w:t>15. Relationship to Bhadale IT Commercial Pillars</w:t>
      </w:r>
    </w:p>
    <w:tbl>
      <w:tblPr>
        <w:tblStyle w:val="TableGrid"/>
        <w:tblW w:type="auto" w:w="0"/>
        <w:tblLook w:firstColumn="1" w:firstRow="1" w:lastColumn="0" w:lastRow="0" w:noHBand="0" w:noVBand="1" w:val="04A0"/>
      </w:tblPr>
      <w:tblGrid>
        <w:gridCol w:w="4968"/>
        <w:gridCol w:w="4968"/>
      </w:tblGrid>
      <w:tr>
        <w:tc>
          <w:tcPr>
            <w:tcW w:type="dxa" w:w="4968"/>
          </w:tcPr>
          <w:p>
            <w:r>
              <w:t>Commercial Pillar</w:t>
            </w:r>
          </w:p>
        </w:tc>
        <w:tc>
          <w:tcPr>
            <w:tcW w:type="dxa" w:w="4968"/>
          </w:tcPr>
          <w:p>
            <w:r>
              <w:t>Potential QAI Lab outcome</w:t>
            </w:r>
          </w:p>
        </w:tc>
      </w:tr>
      <w:tr>
        <w:tc>
          <w:tcPr>
            <w:tcW w:type="dxa" w:w="4968"/>
          </w:tcPr>
          <w:p>
            <w:r>
              <w:t>Products</w:t>
            </w:r>
          </w:p>
        </w:tc>
        <w:tc>
          <w:tcPr>
            <w:tcW w:type="dxa" w:w="4968"/>
          </w:tcPr>
          <w:p>
            <w:r>
              <w:t>New QAI product concepts, prototypes or development roadmaps.</w:t>
            </w:r>
          </w:p>
        </w:tc>
      </w:tr>
      <w:tr>
        <w:tc>
          <w:tcPr>
            <w:tcW w:type="dxa" w:w="4968"/>
          </w:tcPr>
          <w:p>
            <w:r>
              <w:t>Modernization</w:t>
            </w:r>
          </w:p>
        </w:tc>
        <w:tc>
          <w:tcPr>
            <w:tcW w:type="dxa" w:w="4968"/>
          </w:tcPr>
          <w:p>
            <w:r>
              <w:t>Evidence-supported transformation of existing systems.</w:t>
            </w:r>
          </w:p>
        </w:tc>
      </w:tr>
      <w:tr>
        <w:tc>
          <w:tcPr>
            <w:tcW w:type="dxa" w:w="4968"/>
          </w:tcPr>
          <w:p>
            <w:r>
              <w:t>Services</w:t>
            </w:r>
          </w:p>
        </w:tc>
        <w:tc>
          <w:tcPr>
            <w:tcW w:type="dxa" w:w="4968"/>
          </w:tcPr>
          <w:p>
            <w:r>
              <w:t>Reusable consulting, implementation, integration or experimentation services.</w:t>
            </w:r>
          </w:p>
        </w:tc>
      </w:tr>
      <w:tr>
        <w:tc>
          <w:tcPr>
            <w:tcW w:type="dxa" w:w="4968"/>
          </w:tcPr>
          <w:p>
            <w:r>
              <w:t>Research</w:t>
            </w:r>
          </w:p>
        </w:tc>
        <w:tc>
          <w:tcPr>
            <w:tcW w:type="dxa" w:w="4968"/>
          </w:tcPr>
          <w:p>
            <w:r>
              <w:t>New knowledge, experiments, patterns, potential IP and research roadmaps.</w:t>
            </w:r>
          </w:p>
        </w:tc>
      </w:tr>
    </w:tbl>
    <w:p>
      <w:pPr>
        <w:pStyle w:val="Heading1"/>
      </w:pPr>
      <w:r>
        <w:t>16. Proposed Workspace</w:t>
      </w:r>
    </w:p>
    <w:p>
      <w:r>
        <w:rPr>
          <w:rFonts w:ascii="Consolas" w:hAnsi="Consolas"/>
          <w:sz w:val="18"/>
        </w:rPr>
        <w:t>qai_lab/</w:t>
        <w:br/>
        <w:t>├── README.md</w:t>
        <w:br/>
        <w:t>├── experiment_acceleration_kit/</w:t>
        <w:br/>
        <w:t>│   ├── templates/</w:t>
        <w:br/>
        <w:t>│   ├── resources/</w:t>
        <w:br/>
        <w:t>│   └── bootstrap/</w:t>
        <w:br/>
        <w:t>├── tracks/</w:t>
        <w:br/>
        <w:t>│   ├── quantum_computing/</w:t>
        <w:br/>
        <w:t>│   │   └── working_groups/</w:t>
        <w:br/>
        <w:t>│   ├── quantum_communication/</w:t>
        <w:br/>
        <w:t>│   │   └── working_groups/</w:t>
        <w:br/>
        <w:t>│   ├── software_engineering/</w:t>
        <w:br/>
        <w:t>│   │   └── working_groups/</w:t>
        <w:br/>
        <w:t>│   ├── systems_engineering/</w:t>
        <w:br/>
        <w:t>│   │   └── working_groups/</w:t>
        <w:br/>
        <w:t>│   └── domain/</w:t>
        <w:br/>
        <w:t>│       └── working_groups/</w:t>
        <w:br/>
        <w:t>├── codesign/</w:t>
        <w:br/>
        <w:t>│   ├── methodology/</w:t>
        <w:br/>
        <w:t>│   ├── workflows/</w:t>
        <w:br/>
        <w:t>│   ├── templates/</w:t>
        <w:br/>
        <w:t>│   └── examples/</w:t>
        <w:br/>
        <w:t>├── asset_fabric/</w:t>
        <w:br/>
        <w:t>│   ├── asset_registry/</w:t>
        <w:br/>
        <w:t>│   ├── interfaces/</w:t>
        <w:br/>
        <w:t>│   ├── api_contracts/</w:t>
        <w:br/>
        <w:t>│   ├── adapters/</w:t>
        <w:br/>
        <w:t>│   ├── resource_fabric/</w:t>
        <w:br/>
        <w:t>│   ├── control_planes/</w:t>
        <w:br/>
        <w:t>│   ├── factory_services/</w:t>
        <w:br/>
        <w:t>│   ├── notebooks/</w:t>
        <w:br/>
        <w:t>│   └── virtual_assets/</w:t>
        <w:br/>
        <w:t>├── experiments/</w:t>
        <w:br/>
        <w:t>│   ├── active/</w:t>
        <w:br/>
        <w:t>│   ├── completed/</w:t>
        <w:br/>
        <w:t>│   ├── baselines/</w:t>
        <w:br/>
        <w:t>│   ├── results/</w:t>
        <w:br/>
        <w:t>│   └── evidence/</w:t>
        <w:br/>
        <w:t>└── reference_implementations/</w:t>
        <w:br/>
        <w:t xml:space="preserve">    ├── quantum/</w:t>
        <w:br/>
        <w:t xml:space="preserve">    ├── communication/</w:t>
        <w:br/>
        <w:t xml:space="preserve">    ├── software/</w:t>
        <w:br/>
        <w:t xml:space="preserve">    └── systems/</w:t>
      </w:r>
    </w:p>
    <w:p>
      <w:pPr>
        <w:pStyle w:val="Heading1"/>
      </w:pPr>
      <w:r>
        <w:t>17. Development Principles</w:t>
      </w:r>
    </w:p>
    <w:p>
      <w:pPr>
        <w:pStyle w:val="ListBullet"/>
      </w:pPr>
      <w:r>
        <w:t>Keep the Lab lightweight; avoid unnecessary management structures.</w:t>
      </w:r>
    </w:p>
    <w:p>
      <w:pPr>
        <w:pStyle w:val="ListBullet"/>
      </w:pPr>
      <w:r>
        <w:t>Use stable Tracks for broad capability organization.</w:t>
      </w:r>
    </w:p>
    <w:p>
      <w:pPr>
        <w:pStyle w:val="ListBullet"/>
      </w:pPr>
      <w:r>
        <w:t>Use Working Groups for focused projects, experiments and capability development.</w:t>
      </w:r>
    </w:p>
    <w:p>
      <w:pPr>
        <w:pStyle w:val="ListBullet"/>
      </w:pPr>
      <w:r>
        <w:t>Allow Working Groups to be cross-track when the problem requires hybrid capability.</w:t>
      </w:r>
    </w:p>
    <w:p>
      <w:pPr>
        <w:pStyle w:val="ListBullet"/>
      </w:pPr>
      <w:r>
        <w:t>Use Co-Design to integrate tracks and assets.</w:t>
      </w:r>
    </w:p>
    <w:p>
      <w:pPr>
        <w:pStyle w:val="ListBullet"/>
      </w:pPr>
      <w:r>
        <w:t>Prefer API/interface-based reuse over copying assets.</w:t>
      </w:r>
    </w:p>
    <w:p>
      <w:pPr>
        <w:pStyle w:val="ListBullet"/>
      </w:pPr>
      <w:r>
        <w:t>Maintain a curated Asset Registry before introducing dynamic discovery.</w:t>
      </w:r>
    </w:p>
    <w:p>
      <w:pPr>
        <w:pStyle w:val="ListBullet"/>
      </w:pPr>
      <w:r>
        <w:t>Support cloud, enterprise, hybrid and air-gapped deployment models.</w:t>
      </w:r>
    </w:p>
    <w:p>
      <w:pPr>
        <w:pStyle w:val="ListBullet"/>
      </w:pPr>
      <w:r>
        <w:t>Separate conceptual, simulated, demonstrated and physical capabilities.</w:t>
      </w:r>
    </w:p>
    <w:p>
      <w:pPr>
        <w:pStyle w:val="ListBullet"/>
      </w:pPr>
      <w:r>
        <w:t>Preserve provenance, evidence and reproducibility.</w:t>
      </w:r>
    </w:p>
    <w:p>
      <w:pPr>
        <w:pStyle w:val="ListBullet"/>
      </w:pPr>
      <w:r>
        <w:t>Do not force quantum technology when classical or other approaches are more appropriate.</w:t>
      </w:r>
    </w:p>
    <w:p>
      <w:pPr>
        <w:pStyle w:val="Heading1"/>
      </w:pPr>
      <w:r>
        <w:t>18. Immediate Next Steps</w:t>
      </w:r>
    </w:p>
    <w:p>
      <w:pPr>
        <w:pStyle w:val="ListNumber"/>
      </w:pPr>
      <w:r>
        <w:t>Create the QAI Lab workspace skeleton in VS Code.</w:t>
      </w:r>
    </w:p>
    <w:p>
      <w:pPr>
        <w:pStyle w:val="ListNumber"/>
      </w:pPr>
      <w:r>
        <w:t>Create the five Tracks and lightweight Working Group structures.</w:t>
      </w:r>
    </w:p>
    <w:p>
      <w:pPr>
        <w:pStyle w:val="ListNumber"/>
      </w:pPr>
      <w:r>
        <w:t>Create the Co-Design methodology and templates.</w:t>
      </w:r>
    </w:p>
    <w:p>
      <w:pPr>
        <w:pStyle w:val="ListNumber"/>
      </w:pPr>
      <w:r>
        <w:t>Create the Experiment Acceleration Kit structure.</w:t>
      </w:r>
    </w:p>
    <w:p>
      <w:pPr>
        <w:pStyle w:val="ListNumber"/>
      </w:pPr>
      <w:r>
        <w:t>Create the initial QAI Asset Registry and catalogue existing assets.</w:t>
      </w:r>
    </w:p>
    <w:p>
      <w:pPr>
        <w:pStyle w:val="ListNumber"/>
      </w:pPr>
      <w:r>
        <w:t>Identify interfaces/APIs for the first reusable assets.</w:t>
      </w:r>
    </w:p>
    <w:p>
      <w:pPr>
        <w:pStyle w:val="ListNumber"/>
      </w:pPr>
      <w:r>
        <w:t>Place the modular planner reference implementation in its General Factory location.</w:t>
      </w:r>
    </w:p>
    <w:p>
      <w:pPr>
        <w:pStyle w:val="ListNumber"/>
      </w:pPr>
      <w:r>
        <w:t>Select one existing pilot notebook as the first end-to-end Co-Design integration example.</w:t>
      </w:r>
    </w:p>
    <w:p>
      <w:pPr>
        <w:pStyle w:val="ListNumber"/>
      </w:pPr>
      <w:r>
        <w:t>Use the Procurement Readiness Gaps and Action Roadmap to prioritize missing capabilities.</w:t>
      </w:r>
    </w:p>
    <w:p>
      <w:pPr>
        <w:pStyle w:val="Heading1"/>
      </w:pPr>
      <w:r>
        <w:t>19. Guardrails and Scope</w:t>
      </w:r>
    </w:p>
    <w:p>
      <w:pPr>
        <w:pStyle w:val="ListBullet"/>
      </w:pPr>
      <w:r>
        <w:t>Dynamic asset discovery and automatic synchronization are future capabilities, not current-scope requirements.</w:t>
      </w:r>
    </w:p>
    <w:p>
      <w:pPr>
        <w:pStyle w:val="ListBullet"/>
      </w:pPr>
      <w:r>
        <w:t>QAI Lab capabilities must be described according to actual evidence.</w:t>
      </w:r>
    </w:p>
    <w:p>
      <w:pPr>
        <w:pStyle w:val="ListBullet"/>
      </w:pPr>
      <w:r>
        <w:t>Client-specific security, IP, licensing, confidentiality, data residency and procurement constraints govern asset use.</w:t>
      </w:r>
    </w:p>
    <w:p>
      <w:pPr>
        <w:pStyle w:val="ListBullet"/>
      </w:pPr>
      <w:r>
        <w:t>Private/air-gapped synchronization must eventually be governed by version, provenance, security classification, licensing and approval controls.</w:t>
      </w:r>
    </w:p>
    <w:p>
      <w:pPr>
        <w:pStyle w:val="ListBullet"/>
      </w:pPr>
      <w:r>
        <w:t>The workspace structure is a proposed post-pilot architecture until implemented and validated.</w:t>
      </w:r>
    </w:p>
    <w:p>
      <w:pPr>
        <w:pStyle w:val="Heading1"/>
      </w:pPr>
      <w:r>
        <w:t>20. Closing</w:t>
      </w:r>
    </w:p>
    <w:p>
      <w:r>
        <w:t>The post-pilot QAI Lab strategy now has a clear lightweight operating model: broad Tracks provide stable capability organization; Working Groups provide project-focused execution; Co-Design combines tracks around client problems; the QAI Asset Fabric provides reusable capabilities through interfaces and APIs; and the Experiment Acceleration Kit provides the templates and bootstrap mechanisms needed to move from problem definition to technical experimentation and evidence.</w:t>
      </w:r>
    </w:p>
    <w:p>
      <w:r>
        <w:t>This creates a foundation for QAI Lab as a Service as a flagship Bhadale IT offer that can operate across cloud, private enterprise, hybrid and air-gapped environments while supporting clients with different industries, roles and engineering backgrounds.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QAI Lab • Post-Pilot Updated Strategy v2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