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QAI Post-Pilot Architecture Analysis</w:t>
        <w:br/>
      </w:r>
      <w:r>
        <w:rPr>
          <w:b/>
          <w:sz w:val="26"/>
        </w:rPr>
        <w:t>Hybrid Classical–Quantum Paradigm, VirtualQubit, Metadata, and QAI Engineering</w:t>
      </w:r>
    </w:p>
    <w:p>
      <w:pPr>
        <w:jc w:val="center"/>
      </w:pPr>
      <w:r>
        <w:rPr>
          <w:i/>
        </w:rPr>
        <w:t>Research synthesis and architectural mapping based on the four QAI sources discussed and the existing QAI framework/pilot concepts.</w:t>
      </w:r>
    </w:p>
    <w:p>
      <w:pPr>
        <w:pStyle w:val="Heading1"/>
      </w:pPr>
      <w:r>
        <w:t>1. Executive Summary</w:t>
      </w:r>
    </w:p>
    <w:p>
      <w:r>
        <w:t>The four QAI sources reviewed identify recurring challenges in integrating artificial intelligence, quantum computing and conventional computing: hybrid execution, limited quantum resources, noise and stochasticity, data loading and encoding, problem decomposition, verification, resource management, explainability, uncertainty and software-engineering integration.</w:t>
      </w:r>
    </w:p>
    <w:p>
      <w:r>
        <w:t>The existing QAI architecture has corresponding concepts that can represent or address many of these challenges. These include the VirtualQubit abstraction, a cross-platform metadata framework, open- and closed-loop systems, classical baselines and fallback paths, data transformation and dimensionality reduction, manifold and nonlinear representations, neural-network-based search-space reduction, decomposition, emulation and simulation, the General Framework, General Factory, Resource Fabric, workflow/evidence architecture and earlier QAI systems/software-engineering work.</w:t>
      </w:r>
    </w:p>
    <w:p>
      <w:r>
        <w:t>This alignment should not be presented as empirical validation of quantum advantage or production readiness. Rather, it indicates that the architecture contains explicit boundaries and mechanisms in which many of the limitations identified by current QAI research can be represented, measured, controlled and progressively improved.</w:t>
      </w:r>
    </w:p>
    <w:p>
      <w:pPr>
        <w:pStyle w:val="Heading1"/>
      </w:pPr>
      <w:r>
        <w:t>2. Four Research Sources and Their Relevance</w:t>
      </w:r>
    </w:p>
    <w:p>
      <w:r>
        <w:rPr>
          <w:b/>
        </w:rPr>
        <w:t>Quantum Artificial Intelligence for Mission-Critical Systems: Foundations, Architectural Elements, and Future Directions</w:t>
      </w:r>
    </w:p>
    <w:p>
      <w:r>
        <w:t>Highlights NISQ noise, stochasticity, trainability, data loading, verification, certification and quantum-aware resource management. It emphasizes hybrid architectures and bounded use of quantum processing within larger classical systems.</w:t>
      </w:r>
    </w:p>
    <w:p>
      <w:r>
        <w:rPr>
          <w:b/>
        </w:rPr>
        <w:t>Integrating artificial intelligence and quantum computing: A systematic literature review of features and applications</w:t>
      </w:r>
    </w:p>
    <w:p>
      <w:r>
        <w:t>Provides a broader review of AI/QC integration, including QML, quantum optimization, quantum simulation, NISQ limitations, noise resilience, data encoding, error correction and hybrid quantum-classical approaches.</w:t>
      </w:r>
    </w:p>
    <w:p>
      <w:r>
        <w:rPr>
          <w:b/>
        </w:rPr>
        <w:t>Quantum Artificial Intelligence for Software Engineering: the Road Ahead</w:t>
      </w:r>
    </w:p>
    <w:p>
      <w:r>
        <w:t>Highlights the classical-versus-quantum decision, limited qubit counts/connectivity, noise, mapping and encoding, empirical comparison, explainability and uncertainty as software-engineering challenges for QAI.</w:t>
      </w:r>
    </w:p>
    <w:p>
      <w:r>
        <w:rPr>
          <w:b/>
        </w:rPr>
        <w:t>QAI4SE – Quantum AI for Software Engineering</w:t>
      </w:r>
    </w:p>
    <w:p>
      <w:r>
        <w:t>Demonstrates practical QAI applications in software engineering, including testing, optimization, QoS prediction and related use cases, supporting the view that quantum capabilities should be integrated into software-engineering workflows rather than treated as isolated algorithms.</w:t>
      </w:r>
    </w:p>
    <w:p>
      <w:pPr>
        <w:pStyle w:val="Heading1"/>
      </w:pPr>
      <w:r>
        <w:t>3. Core Architectural Position</w:t>
      </w:r>
    </w:p>
    <w:p>
      <w:r>
        <w:t>The central architectural principle is that QAI should be treated as a governed hybrid computational capability, not as a replacement for classical computing.</w:t>
      </w:r>
    </w:p>
    <w:p>
      <w:r>
        <w:t>Quantum processing is therefore one possible computational capability inside a broader system that includes classical computing, AI/ML, data preparation, workflow management, simulation, emulation, resource management, validation, evidence and feedback.</w:t>
      </w:r>
    </w:p>
    <w:p>
      <w:pPr>
        <w:pStyle w:val="Heading1"/>
      </w:pPr>
      <w:r>
        <w:t>4. VirtualQubit as a Cross-Layer Platform Primitive</w:t>
      </w:r>
    </w:p>
    <w:p>
      <w:r>
        <w:t>The VirtualQubit should not be described simply as a software representation of a physical qubit. In the existing QAI concept, it is an internal representation capable of carrying state and metadata across data planes and communication channels.</w:t>
      </w:r>
    </w:p>
    <w:p>
      <w:pPr>
        <w:pStyle w:val="ListBullet"/>
      </w:pPr>
      <w:r>
        <w:t>Computational state and state transitions</w:t>
      </w:r>
    </w:p>
    <w:p>
      <w:pPr>
        <w:pStyle w:val="ListBullet"/>
      </w:pPr>
      <w:r>
        <w:t>Classical, quantum and hybrid data/context</w:t>
      </w:r>
    </w:p>
    <w:p>
      <w:pPr>
        <w:pStyle w:val="ListBullet"/>
      </w:pPr>
      <w:r>
        <w:t>Metadata and provenance</w:t>
      </w:r>
    </w:p>
    <w:p>
      <w:pPr>
        <w:pStyle w:val="ListBullet"/>
      </w:pPr>
      <w:r>
        <w:t>State-change and swap/migration information</w:t>
      </w:r>
    </w:p>
    <w:p>
      <w:pPr>
        <w:pStyle w:val="ListBullet"/>
      </w:pPr>
      <w:r>
        <w:t>Error detection and error history</w:t>
      </w:r>
    </w:p>
    <w:p>
      <w:pPr>
        <w:pStyle w:val="ListBullet"/>
      </w:pPr>
      <w:r>
        <w:t>Execution and resource context</w:t>
      </w:r>
    </w:p>
    <w:p>
      <w:pPr>
        <w:pStyle w:val="ListBullet"/>
      </w:pPr>
      <w:r>
        <w:t>Communication context</w:t>
      </w:r>
    </w:p>
    <w:p>
      <w:pPr>
        <w:pStyle w:val="ListBullet"/>
      </w:pPr>
      <w:r>
        <w:t>Validation and evidence context</w:t>
      </w:r>
    </w:p>
    <w:p>
      <w:r>
        <w:t>This makes the VirtualQubit a candidate cross-plane coordination primitive. A physical qubit remains a hardware resource; a VirtualQubit represents computational state, identity, context and associated metadata across heterogeneous execution planes.</w:t>
      </w:r>
    </w:p>
    <w:p>
      <w:pPr>
        <w:pStyle w:val="Heading1"/>
      </w:pPr>
      <w:r>
        <w:t>5. Metadata Framework and Learning/Improvement</w:t>
      </w:r>
    </w:p>
    <w:p>
      <w:r>
        <w:t>The metadata framework is intended to operate across the QAI platform and improve over time. It is useful to distinguish the metadata fabric from the learning/improvement layer.</w:t>
      </w:r>
    </w:p>
    <w:p>
      <w:pPr>
        <w:pStyle w:val="ListBullet"/>
      </w:pPr>
      <w:r>
        <w:t>Metadata fabric: state, transitions, lineage, execution context, data, resource information, errors, workflow and experiment information.</w:t>
      </w:r>
    </w:p>
    <w:p>
      <w:pPr>
        <w:pStyle w:val="ListBullet"/>
      </w:pPr>
      <w:r>
        <w:t>Learning/improvement layer: uses accumulated execution and evidence information to improve resource selection, decomposition, execution strategy, error handling and other policies.</w:t>
      </w:r>
    </w:p>
    <w:p>
      <w:r>
        <w:t>This supports an architecture in which the platform observes, records, learns and improves rather than functioning only as a static metadata catalogue.</w:t>
      </w:r>
    </w:p>
    <w:p>
      <w:pPr>
        <w:pStyle w:val="Heading1"/>
      </w:pPr>
      <w:r>
        <w:t>6. Open-Loop and Closed-Loop QAI Systems</w:t>
      </w:r>
    </w:p>
    <w:p>
      <w:r>
        <w:t>Open-loop execution can follow a predetermined workflow from input to result. Closed-loop execution can observe results, errors and state changes and use them to adapt subsequent execution.</w:t>
      </w:r>
    </w:p>
    <w:p>
      <w:r>
        <w:t>Conceptual closed-loop lifecycle: Sense → Process → Decide → Act → Observe → Learn → Adapt → Next Run</w:t>
      </w:r>
    </w:p>
    <w:p>
      <w:r>
        <w:t>The VirtualQubit and metadata framework can provide the state/context required to maintain such feedback loops.</w:t>
      </w:r>
    </w:p>
    <w:p>
      <w:pPr>
        <w:pStyle w:val="Heading1"/>
      </w:pPr>
      <w:r>
        <w:t>7. Classical Data Transformation Before Quantum Processing</w:t>
      </w:r>
    </w:p>
    <w:p>
      <w:r>
        <w:t>Existing QAI capabilities around classical data preparation are directly relevant to the data-loading and encoding limitations identified in the literature.</w:t>
      </w:r>
    </w:p>
    <w:p>
      <w:pPr>
        <w:pStyle w:val="ListBullet"/>
      </w:pPr>
      <w:r>
        <w:t>PCA and dimensionality reduction</w:t>
      </w:r>
    </w:p>
    <w:p>
      <w:pPr>
        <w:pStyle w:val="ListBullet"/>
      </w:pPr>
      <w:r>
        <w:t>Feature selection and classical preprocessing</w:t>
      </w:r>
    </w:p>
    <w:p>
      <w:pPr>
        <w:pStyle w:val="ListBullet"/>
      </w:pPr>
      <w:r>
        <w:t>Manifold learning</w:t>
      </w:r>
    </w:p>
    <w:p>
      <w:pPr>
        <w:pStyle w:val="ListBullet"/>
      </w:pPr>
      <w:r>
        <w:t>Nonlinear and higher-dimensional projections</w:t>
      </w:r>
    </w:p>
    <w:p>
      <w:pPr>
        <w:pStyle w:val="ListBullet"/>
      </w:pPr>
      <w:r>
        <w:t>Quaternion-based representations where appropriate</w:t>
      </w:r>
    </w:p>
    <w:p>
      <w:pPr>
        <w:pStyle w:val="ListBullet"/>
      </w:pPr>
      <w:r>
        <w:t>Neural-network-based representation and search-space reduction</w:t>
      </w:r>
    </w:p>
    <w:p>
      <w:pPr>
        <w:pStyle w:val="ListBullet"/>
      </w:pPr>
      <w:r>
        <w:t>Problem decomposition</w:t>
      </w:r>
    </w:p>
    <w:p>
      <w:pPr>
        <w:pStyle w:val="ListBullet"/>
      </w:pPr>
      <w:r>
        <w:t>Search-space scoping and state-space reduction</w:t>
      </w:r>
    </w:p>
    <w:p>
      <w:r>
        <w:t>The resulting architecture does not require an entire classical dataset to be transferred directly into a quantum representation. Instead, classical transformation can reduce and structure the problem before a quantum subroutine is invoked.</w:t>
      </w:r>
    </w:p>
    <w:p>
      <w:pPr>
        <w:pStyle w:val="Heading1"/>
      </w:pPr>
      <w:r>
        <w:t>8. Search-Space Reduction and Decomposition</w:t>
      </w:r>
    </w:p>
    <w:p>
      <w:r>
        <w:t>A large domain problem can be transformed into a smaller candidate space using domain constraints, dimensionality reduction, representation learning and decomposition before applying a quantum optimization or QAI capability.</w:t>
      </w:r>
    </w:p>
    <w:p>
      <w:r>
        <w:t>This supports the principle that quantum processing should be used selectively for bounded subproblems that fit available quantum resources, with classical aggregation and verification around quantum execution.</w:t>
      </w:r>
    </w:p>
    <w:p>
      <w:pPr>
        <w:pStyle w:val="Heading1"/>
      </w:pPr>
      <w:r>
        <w:t>9. Error Handling and Adaptive Execution</w:t>
      </w:r>
    </w:p>
    <w:p>
      <w:r>
        <w:t>Error detection and logging can form part of a feedback loop. A detected error can be classified, recorded in the metadata layer and used to determine a subsequent action such as retry, reconfiguration, decomposition, backend change, emulation or classical fallback.</w:t>
      </w:r>
    </w:p>
    <w:p>
      <w:pPr>
        <w:pStyle w:val="Heading1"/>
      </w:pPr>
      <w:r>
        <w:t>10. General Framework, General Factory and Resource Fabric</w:t>
      </w:r>
    </w:p>
    <w:p>
      <w:r>
        <w:t>The architecture can maintain a clear separation of responsibilities:</w:t>
      </w:r>
    </w:p>
    <w:p>
      <w:pPr>
        <w:pStyle w:val="ListBullet"/>
      </w:pPr>
      <w:r>
        <w:t>General Framework — semantic definitions, policies, models and governance.</w:t>
      </w:r>
    </w:p>
    <w:p>
      <w:pPr>
        <w:pStyle w:val="ListBullet"/>
      </w:pPr>
      <w:r>
        <w:t>General Factory — registry, resolution, connectors, adapters, execution and implementation binding.</w:t>
      </w:r>
    </w:p>
    <w:p>
      <w:pPr>
        <w:pStyle w:val="ListBullet"/>
      </w:pPr>
      <w:r>
        <w:t>Resource Fabric — authoritative resource resolution and policy across classical, AI and quantum resources.</w:t>
      </w:r>
    </w:p>
    <w:p>
      <w:pPr>
        <w:pStyle w:val="ListBullet"/>
      </w:pPr>
      <w:r>
        <w:t>VirtualQubit / metadata mechanisms — state, context, identity, transitions and cross-plane metadata.</w:t>
      </w:r>
    </w:p>
    <w:p>
      <w:pPr>
        <w:pStyle w:val="ListBullet"/>
      </w:pPr>
      <w:r>
        <w:t>Evidence layer — validation, provenance, execution records and result context.</w:t>
      </w:r>
    </w:p>
    <w:p>
      <w:r>
        <w:t>This separation prevents technology-specific implementations such as Qiskit, Cirq, PennyLane, cloud providers or GitLab from becoming the semantic architecture itself.</w:t>
      </w:r>
    </w:p>
    <w:p>
      <w:pPr>
        <w:pStyle w:val="Heading1"/>
      </w:pPr>
      <w:r>
        <w:t>11. QAI Software Engineering Position</w:t>
      </w:r>
    </w:p>
    <w:p>
      <w:r>
        <w:t>Earlier QAI systems and QAI software-engineering work can be treated as an existing body of capabilities that the post-pilot architecture now consolidates and generalizes. The Agriculture pilot therefore serves as an evidence-generating application and workload source rather than the sole origin of the QAI architecture.</w:t>
      </w:r>
    </w:p>
    <w:p>
      <w:r>
        <w:t>A suitable positioning is: the post-pilot work generalizes reusable engineering patterns from the pilot and earlier QAI work into a reusable General Framework and General Factory architecture.</w:t>
      </w:r>
    </w:p>
    <w:p>
      <w:pPr>
        <w:pStyle w:val="Heading1"/>
      </w:pPr>
      <w:r>
        <w:t>12. End-to-End Hybrid QAI Lifecycle</w:t>
      </w:r>
    </w:p>
    <w:p>
      <w:r>
        <w:t>QAI Problem → Classical Baseline → Quantum Advantage Gate → Problem Transformation → Decomposition/Search-Space Reduction → QAI Workflow → VirtualQubit/State Context → Classical / Emulator / Quantum Execution → Results → Validation/Evidence → Metadata Update → Learning/Adaptation → Next Run</w:t>
      </w:r>
    </w:p>
    <w:p>
      <w:pPr>
        <w:pStyle w:val="Heading1"/>
      </w:pPr>
      <w:r>
        <w:t>13. Implications for the Post-Pilot MVP</w:t>
      </w:r>
    </w:p>
    <w:p>
      <w:r>
        <w:t>The full architecture should not be implemented at once. The MVP can establish the key boundaries while leaving advanced capabilities for later phases.</w:t>
      </w:r>
    </w:p>
    <w:p>
      <w:pPr>
        <w:pStyle w:val="ListBullet"/>
      </w:pPr>
      <w:r>
        <w:t>Logical workflow</w:t>
      </w:r>
    </w:p>
    <w:p>
      <w:pPr>
        <w:pStyle w:val="ListBullet"/>
      </w:pPr>
      <w:r>
        <w:t>Classical baseline</w:t>
      </w:r>
    </w:p>
    <w:p>
      <w:pPr>
        <w:pStyle w:val="ListBullet"/>
      </w:pPr>
      <w:r>
        <w:t>One Agriculture capability</w:t>
      </w:r>
    </w:p>
    <w:p>
      <w:pPr>
        <w:pStyle w:val="ListBullet"/>
      </w:pPr>
      <w:r>
        <w:t>Local execution</w:t>
      </w:r>
    </w:p>
    <w:p>
      <w:pPr>
        <w:pStyle w:val="ListBullet"/>
      </w:pPr>
      <w:r>
        <w:t>Local emulation</w:t>
      </w:r>
    </w:p>
    <w:p>
      <w:pPr>
        <w:pStyle w:val="ListBullet"/>
      </w:pPr>
      <w:r>
        <w:t>Basic VirtualQubit/state representation</w:t>
      </w:r>
    </w:p>
    <w:p>
      <w:pPr>
        <w:pStyle w:val="ListBullet"/>
      </w:pPr>
      <w:r>
        <w:t>Basic metadata and provenance</w:t>
      </w:r>
    </w:p>
    <w:p>
      <w:pPr>
        <w:pStyle w:val="ListBullet"/>
      </w:pPr>
      <w:r>
        <w:t>Error capture</w:t>
      </w:r>
    </w:p>
    <w:p>
      <w:pPr>
        <w:pStyle w:val="ListBullet"/>
      </w:pPr>
      <w:r>
        <w:t>Results and evidence</w:t>
      </w:r>
    </w:p>
    <w:p>
      <w:pPr>
        <w:pStyle w:val="ListBullet"/>
      </w:pPr>
      <w:r>
        <w:t>MLflow experiment tracking</w:t>
      </w:r>
    </w:p>
    <w:p>
      <w:r>
        <w:t>Progressive post-MVP capabilities:</w:t>
      </w:r>
    </w:p>
    <w:p>
      <w:pPr>
        <w:pStyle w:val="ListBullet"/>
      </w:pPr>
      <w:r>
        <w:t>Problem decomposition and search-space reduction</w:t>
      </w:r>
    </w:p>
    <w:p>
      <w:pPr>
        <w:pStyle w:val="ListBullet"/>
      </w:pPr>
      <w:r>
        <w:t>PCA and dimensionality-reduction pipelines</w:t>
      </w:r>
    </w:p>
    <w:p>
      <w:pPr>
        <w:pStyle w:val="ListBullet"/>
      </w:pPr>
      <w:r>
        <w:t>Richer VirtualQubit state and metadata</w:t>
      </w:r>
    </w:p>
    <w:p>
      <w:pPr>
        <w:pStyle w:val="ListBullet"/>
      </w:pPr>
      <w:r>
        <w:t>Closed-loop execution</w:t>
      </w:r>
    </w:p>
    <w:p>
      <w:pPr>
        <w:pStyle w:val="ListBullet"/>
      </w:pPr>
      <w:r>
        <w:t>Quantum simulation and additional emulation</w:t>
      </w:r>
    </w:p>
    <w:p>
      <w:pPr>
        <w:pStyle w:val="ListBullet"/>
      </w:pPr>
      <w:r>
        <w:t>Quantum backend and resource profiles</w:t>
      </w:r>
    </w:p>
    <w:p>
      <w:pPr>
        <w:pStyle w:val="ListBullet"/>
      </w:pPr>
      <w:r>
        <w:t>Resource-aware execution</w:t>
      </w:r>
    </w:p>
    <w:p>
      <w:pPr>
        <w:pStyle w:val="ListBullet"/>
      </w:pPr>
      <w:r>
        <w:t>Adaptive metadata and learning</w:t>
      </w:r>
    </w:p>
    <w:p>
      <w:pPr>
        <w:pStyle w:val="ListBullet"/>
      </w:pPr>
      <w:r>
        <w:t>Automated execution-path selection</w:t>
      </w:r>
    </w:p>
    <w:p>
      <w:pPr>
        <w:pStyle w:val="ListBullet"/>
      </w:pPr>
      <w:r>
        <w:t>Broader QAI software-engineering capabilities</w:t>
      </w:r>
    </w:p>
    <w:p>
      <w:pPr>
        <w:pStyle w:val="Heading1"/>
      </w:pPr>
      <w:r>
        <w:t>14. Recommended Confidence Statement</w:t>
      </w:r>
    </w:p>
    <w:p>
      <w:r>
        <w:t>The research identifies a set of QAI integration challenges that the existing architecture already has explicit mechanisms to represent or address, including hybrid execution, classical baselines, state/context management, data transformation, search-space reduction, decomposition, emulation, resource abstraction, error handling, provenance, validation and closed-loop adaptation.</w:t>
      </w:r>
    </w:p>
    <w:p>
      <w:r>
        <w:t>This should not be interpreted as empirical validation of quantum advantage or production readiness. It is an architectural alignment statement: the framework contains appropriate boundaries in which the identified QAI limitations can be represented, managed, evaluated and progressively improved.</w:t>
      </w:r>
    </w:p>
    <w:p>
      <w:pPr>
        <w:pStyle w:val="Heading1"/>
      </w:pPr>
      <w:r>
        <w:t>15. Overall Architectural Principle</w:t>
      </w:r>
    </w:p>
    <w:p>
      <w:r>
        <w:rPr>
          <w:b/>
        </w:rPr>
        <w:t>QAI should be treated as a governed hybrid computational capability, not as a replacement for classical computing.</w:t>
      </w:r>
    </w:p>
    <w:p>
      <w:r>
        <w:t>The resulting platform allows classical computing, AI/ML, mathematical representations, quantum algorithms, emulation, simulation and physical quantum resources to cooperate through a common semantic, state, metadata and workflow framework.</w:t>
      </w:r>
    </w:p>
    <w:p>
      <w:pPr>
        <w:pStyle w:val="Heading1"/>
      </w:pPr>
      <w:r>
        <w:t>16. Source and Evidence Note</w:t>
      </w:r>
    </w:p>
    <w:p>
      <w:r>
        <w:t>This document is a synthesis of the four research sources discussed in the conversation and the existing QAI architectural concepts described during the analysis. Research-derived observations are used to identify alignment and design implications; they are not presented as independent validation of the user's QAI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QAI Post-Pilot Architecture Analysis | Hybrid Classical–Quantum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