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QAI IP COMMERCIALISATION &amp; PRODUCTION COMPANY STRATEGY</w:t>
      </w:r>
    </w:p>
    <w:p>
      <w:pPr>
        <w:jc w:val="center"/>
      </w:pPr>
      <w:r>
        <w:rPr>
          <w:i/>
          <w:sz w:val="26"/>
        </w:rPr>
        <w:t>Australian Commercialisation, Investment, Licensing and Research Partnership Pathway</w:t>
      </w:r>
    </w:p>
    <w:p>
      <w:pPr>
        <w:jc w:val="center"/>
      </w:pPr>
      <w:r>
        <w:rPr>
          <w:sz w:val="20"/>
        </w:rPr>
        <w:t>Prepared from the QAI patent monetisation discussion</w:t>
        <w:br/>
        <w:t>2 October 2026</w:t>
      </w:r>
    </w:p>
    <w:p>
      <w:pPr>
        <w:pStyle w:val="Heading1"/>
      </w:pPr>
      <w:r>
        <w:t>1. Executive Summary</w:t>
      </w:r>
    </w:p>
    <w:p>
      <w:r>
        <w:t>The preferred direction is not simply to sell QAI patents to a passive IP buyer. The objective is to identify or create a production/commercialisation company that can capitalise the market, fund product development, build engineering and manufacturing capability, and commercialise selected QAI technologies while the underlying IP remains within the Bhadale IT/QAI boundary.</w:t>
      </w:r>
    </w:p>
    <w:p>
      <w:r>
        <w:t>The preferred partner should allow the inventor/founder to remain directly involved in research and development, while the commercialisation partner, investor, HoldCo/SPV, strategic MNC or production company supplies capital, engineering, manufacturing, market access and commercial execution.</w:t>
      </w:r>
    </w:p>
    <w:p>
      <w:pPr>
        <w:pStyle w:val="Heading1"/>
      </w:pPr>
      <w:r>
        <w:t>2. Core QAI Commercialisation Vision</w:t>
      </w:r>
    </w:p>
    <w:p>
      <w:pPr>
        <w:pStyle w:val="ListBullet"/>
      </w:pPr>
      <w:r>
        <w:t>Bhadale IT/QAI retains ownership of core IP and selected patent families.</w:t>
      </w:r>
    </w:p>
    <w:p>
      <w:pPr>
        <w:pStyle w:val="ListBullet"/>
      </w:pPr>
      <w:r>
        <w:t>A production/commercialisation company receives a limited, clearly defined licence.</w:t>
      </w:r>
    </w:p>
    <w:p>
      <w:pPr>
        <w:pStyle w:val="ListBullet"/>
      </w:pPr>
      <w:r>
        <w:t>Licence rights can be restricted by field, product, geography, territory and/or development stage.</w:t>
      </w:r>
    </w:p>
    <w:p>
      <w:pPr>
        <w:pStyle w:val="ListBullet"/>
      </w:pPr>
      <w:r>
        <w:t>The production company invests in productisation, validation, manufacturing, certification, pilots and market development.</w:t>
      </w:r>
    </w:p>
    <w:p>
      <w:pPr>
        <w:pStyle w:val="ListBullet"/>
      </w:pPr>
      <w:r>
        <w:t>The QAI Lab remains an active research and technology-development capability.</w:t>
      </w:r>
    </w:p>
    <w:p>
      <w:pPr>
        <w:pStyle w:val="ListBullet"/>
      </w:pPr>
      <w:r>
        <w:t>The founder/inventor participates through an agreed technical leadership, research or program role.</w:t>
      </w:r>
    </w:p>
    <w:p>
      <w:pPr>
        <w:pStyle w:val="ListBullet"/>
      </w:pPr>
      <w:r>
        <w:t>Investment recovery and investor return can be defined alongside the royalty structure.</w:t>
      </w:r>
    </w:p>
    <w:p>
      <w:pPr>
        <w:pStyle w:val="ListBullet"/>
      </w:pPr>
      <w:r>
        <w:t>Commercial sales generate the economic base for continuing R&amp;D, investor recovery and royalties to the IP owner.</w:t>
      </w:r>
    </w:p>
    <w:p>
      <w:r>
        <w:rPr>
          <w:b/>
        </w:rPr>
        <w:t xml:space="preserve">Conceptual flow: </w:t>
      </w:r>
      <w:r>
        <w:t>Bhadale IT / QAI IP → Limited Licence → Production / Commercialisation Co. → Products → Customers → Revenue → Investment Recovery + Investor Return + Royalty → IP Owner</w:t>
      </w:r>
    </w:p>
    <w:p>
      <w:pPr>
        <w:pStyle w:val="Heading1"/>
      </w:pPr>
      <w:r>
        <w:t>3. Why a Passive Patent HoldCo Is Not the Preferred End State</w:t>
      </w:r>
    </w:p>
    <w:p>
      <w:r>
        <w:t>A conventional patent buyer may provide an upfront transaction but may not provide the research environment, product development capability or personal technical participation desired for QAI. The preferred partner therefore needs to be able to commercialise technology as an operating business.</w:t>
      </w:r>
    </w:p>
    <w:p>
      <w:pPr>
        <w:pStyle w:val="ListBullet"/>
      </w:pPr>
      <w:r>
        <w:t>Research-commercialisation company</w:t>
      </w:r>
    </w:p>
    <w:p>
      <w:pPr>
        <w:pStyle w:val="ListBullet"/>
      </w:pPr>
      <w:r>
        <w:t>Deep-tech venture builder or spinout platform</w:t>
      </w:r>
    </w:p>
    <w:p>
      <w:pPr>
        <w:pStyle w:val="ListBullet"/>
      </w:pPr>
      <w:r>
        <w:t>IP-backed investment/HoldCo or SPV</w:t>
      </w:r>
    </w:p>
    <w:p>
      <w:pPr>
        <w:pStyle w:val="ListBullet"/>
      </w:pPr>
      <w:r>
        <w:t>Strategic MNC innovation or product organisation</w:t>
      </w:r>
    </w:p>
    <w:p>
      <w:pPr>
        <w:pStyle w:val="ListBullet"/>
      </w:pPr>
      <w:r>
        <w:t>Deep-tech production/manufacturing company</w:t>
      </w:r>
    </w:p>
    <w:p>
      <w:pPr>
        <w:pStyle w:val="ListBullet"/>
      </w:pPr>
      <w:r>
        <w:t>University or research-institution commercialisation partner</w:t>
      </w:r>
    </w:p>
    <w:p>
      <w:pPr>
        <w:pStyle w:val="ListBullet"/>
      </w:pPr>
      <w:r>
        <w:t>IP commercialisation adviser and capital-raising specialist</w:t>
      </w:r>
    </w:p>
    <w:p>
      <w:pPr>
        <w:pStyle w:val="Heading1"/>
      </w:pPr>
      <w:r>
        <w:t>4. Proposed Limited-Licence and Investment-Recovery Model</w:t>
      </w:r>
    </w:p>
    <w:p>
      <w:r>
        <w:t>The licence should preserve the QAI IP boundary while giving the commercialisation company sufficient rights and economic incentive to invest.</w:t>
      </w:r>
    </w:p>
    <w:tbl>
      <w:tblPr>
        <w:tblStyle w:val="TableGrid"/>
        <w:tblW w:type="auto" w:w="0"/>
        <w:tblLook w:firstColumn="1" w:firstRow="1" w:lastColumn="0" w:lastRow="0" w:noHBand="0" w:noVBand="1" w:val="04A0"/>
      </w:tblPr>
      <w:tblGrid>
        <w:gridCol w:w="3312"/>
        <w:gridCol w:w="3312"/>
        <w:gridCol w:w="3312"/>
      </w:tblGrid>
      <w:tr>
        <w:tc>
          <w:tcPr>
            <w:tcW w:type="dxa" w:w="3312"/>
          </w:tcPr>
          <w:p>
            <w:r>
              <w:t>Stage</w:t>
            </w:r>
          </w:p>
        </w:tc>
        <w:tc>
          <w:tcPr>
            <w:tcW w:type="dxa" w:w="3312"/>
          </w:tcPr>
          <w:p>
            <w:r>
              <w:t>Purpose</w:t>
            </w:r>
          </w:p>
        </w:tc>
        <w:tc>
          <w:tcPr>
            <w:tcW w:type="dxa" w:w="3312"/>
          </w:tcPr>
          <w:p>
            <w:r>
              <w:t>Indicative rights</w:t>
            </w:r>
          </w:p>
        </w:tc>
      </w:tr>
      <w:tr>
        <w:tc>
          <w:tcPr>
            <w:tcW w:type="dxa" w:w="3312"/>
          </w:tcPr>
          <w:p>
            <w:r>
              <w:t>1. Evaluation</w:t>
            </w:r>
          </w:p>
        </w:tc>
        <w:tc>
          <w:tcPr>
            <w:tcW w:type="dxa" w:w="3312"/>
          </w:tcPr>
          <w:p>
            <w:r>
              <w:t>Technical and commercial assessment</w:t>
            </w:r>
          </w:p>
        </w:tc>
        <w:tc>
          <w:tcPr>
            <w:tcW w:type="dxa" w:w="3312"/>
          </w:tcPr>
          <w:p>
            <w:r>
              <w:t>Confidential evaluation rights</w:t>
            </w:r>
          </w:p>
        </w:tc>
      </w:tr>
      <w:tr>
        <w:tc>
          <w:tcPr>
            <w:tcW w:type="dxa" w:w="3312"/>
          </w:tcPr>
          <w:p>
            <w:r>
              <w:t>2. Development</w:t>
            </w:r>
          </w:p>
        </w:tc>
        <w:tc>
          <w:tcPr>
            <w:tcW w:type="dxa" w:w="3312"/>
          </w:tcPr>
          <w:p>
            <w:r>
              <w:t>Prototype and R&amp;D</w:t>
            </w:r>
          </w:p>
        </w:tc>
        <w:tc>
          <w:tcPr>
            <w:tcW w:type="dxa" w:w="3312"/>
          </w:tcPr>
          <w:p>
            <w:r>
              <w:t>Restricted development licence</w:t>
            </w:r>
          </w:p>
        </w:tc>
      </w:tr>
      <w:tr>
        <w:tc>
          <w:tcPr>
            <w:tcW w:type="dxa" w:w="3312"/>
          </w:tcPr>
          <w:p>
            <w:r>
              <w:t>3. Pilot</w:t>
            </w:r>
          </w:p>
        </w:tc>
        <w:tc>
          <w:tcPr>
            <w:tcW w:type="dxa" w:w="3312"/>
          </w:tcPr>
          <w:p>
            <w:r>
              <w:t>Field validation / customer pilots</w:t>
            </w:r>
          </w:p>
        </w:tc>
        <w:tc>
          <w:tcPr>
            <w:tcW w:type="dxa" w:w="3312"/>
          </w:tcPr>
          <w:p>
            <w:r>
              <w:t>Limited pilot rights</w:t>
            </w:r>
          </w:p>
        </w:tc>
      </w:tr>
      <w:tr>
        <w:tc>
          <w:tcPr>
            <w:tcW w:type="dxa" w:w="3312"/>
          </w:tcPr>
          <w:p>
            <w:r>
              <w:t>4. Production</w:t>
            </w:r>
          </w:p>
        </w:tc>
        <w:tc>
          <w:tcPr>
            <w:tcW w:type="dxa" w:w="3312"/>
          </w:tcPr>
          <w:p>
            <w:r>
              <w:t>Manufacturing and sales</w:t>
            </w:r>
          </w:p>
        </w:tc>
        <w:tc>
          <w:tcPr>
            <w:tcW w:type="dxa" w:w="3312"/>
          </w:tcPr>
          <w:p>
            <w:r>
              <w:t>Expanded rights subject to milestones</w:t>
            </w:r>
          </w:p>
        </w:tc>
      </w:tr>
      <w:tr>
        <w:tc>
          <w:tcPr>
            <w:tcW w:type="dxa" w:w="3312"/>
          </w:tcPr>
          <w:p>
            <w:r>
              <w:t>5. Market expansion</w:t>
            </w:r>
          </w:p>
        </w:tc>
        <w:tc>
          <w:tcPr>
            <w:tcW w:type="dxa" w:w="3312"/>
          </w:tcPr>
          <w:p>
            <w:r>
              <w:t>Additional markets or fields</w:t>
            </w:r>
          </w:p>
        </w:tc>
        <w:tc>
          <w:tcPr>
            <w:tcW w:type="dxa" w:w="3312"/>
          </w:tcPr>
          <w:p>
            <w:r>
              <w:t>Additional rights after milestones</w:t>
            </w:r>
          </w:p>
        </w:tc>
      </w:tr>
      <w:tr>
        <w:tc>
          <w:tcPr>
            <w:tcW w:type="dxa" w:w="3312"/>
          </w:tcPr>
          <w:p>
            <w:r>
              <w:t>6. Long-term</w:t>
            </w:r>
          </w:p>
        </w:tc>
        <w:tc>
          <w:tcPr>
            <w:tcW w:type="dxa" w:w="3312"/>
          </w:tcPr>
          <w:p>
            <w:r>
              <w:t>Established commercial product</w:t>
            </w:r>
          </w:p>
        </w:tc>
        <w:tc>
          <w:tcPr>
            <w:tcW w:type="dxa" w:w="3312"/>
          </w:tcPr>
          <w:p>
            <w:r>
              <w:t>Royalty-bearing commercial licence</w:t>
            </w:r>
          </w:p>
        </w:tc>
      </w:tr>
    </w:tbl>
    <w:p>
      <w:r>
        <w:t>Important contractual areas include IP ownership, licence scope, territory, field of use, product class, term, sublicensing, development obligations, minimum performance, sales milestones, investment commitments, royalties, reporting/audit rights, termination and post-termination rights.</w:t>
      </w:r>
    </w:p>
    <w:p>
      <w:pPr>
        <w:pStyle w:val="Heading1"/>
      </w:pPr>
      <w:r>
        <w:t>5. QAI Lab and Founder Participation</w:t>
      </w:r>
    </w:p>
    <w:p>
      <w:pPr>
        <w:pStyle w:val="ListBullet"/>
      </w:pPr>
      <w:r>
        <w:t>The QAI Lab should remain the research and technology-development engine feeding the production company.</w:t>
      </w:r>
    </w:p>
    <w:p>
      <w:pPr>
        <w:pStyle w:val="ListBullet"/>
      </w:pPr>
      <w:r>
        <w:t>Potential founder roles include Founder, CTO, Research Director, Program Director or Strategic Technology Advisor.</w:t>
      </w:r>
    </w:p>
    <w:p>
      <w:pPr>
        <w:pStyle w:val="ListBullet"/>
      </w:pPr>
      <w:r>
        <w:t>A research and development agreement can define joint development activities.</w:t>
      </w:r>
    </w:p>
    <w:p>
      <w:pPr>
        <w:pStyle w:val="ListBullet"/>
      </w:pPr>
      <w:r>
        <w:t>New inventions and improvements should have pre-agreed ownership and licensing rules.</w:t>
      </w:r>
    </w:p>
    <w:p>
      <w:pPr>
        <w:pStyle w:val="ListBullet"/>
      </w:pPr>
      <w:r>
        <w:t>The production company can commercialise mature technology while QAI Lab continues next-generation research.</w:t>
      </w:r>
    </w:p>
    <w:p>
      <w:pPr>
        <w:pStyle w:val="ListBullet"/>
      </w:pPr>
      <w:r>
        <w:t>The structure supports direct inventor participation rather than a passive royalty-only relationship.</w:t>
      </w:r>
    </w:p>
    <w:p>
      <w:pPr>
        <w:pStyle w:val="Heading1"/>
      </w:pPr>
      <w:r>
        <w:t>6. Target Commercialisation Architecture</w:t>
      </w:r>
    </w:p>
    <w:p>
      <w:r>
        <w:t>Bhadale IT / QAI IP Portfolio</w:t>
        <w:br/>
        <w:t xml:space="preserve">        │</w:t>
        <w:br/>
        <w:t xml:space="preserve">        ├── IP / Patent Counsel</w:t>
        <w:br/>
        <w:t xml:space="preserve">        ├── Commercialisation Adviser</w:t>
        <w:br/>
        <w:t xml:space="preserve">        └── QAI Research Lab</w:t>
        <w:br/>
        <w:t xml:space="preserve">                    │</w:t>
        <w:br/>
        <w:t xml:space="preserve">                    ▼</w:t>
        <w:br/>
        <w:t xml:space="preserve">             IP Valuation / Diligence</w:t>
        <w:br/>
        <w:t xml:space="preserve">                    │</w:t>
        <w:br/>
        <w:t xml:space="preserve">             Investor / HoldCo / SPV</w:t>
        <w:br/>
        <w:t xml:space="preserve">                    │</w:t>
        <w:br/>
        <w:t xml:space="preserve">                    ▼</w:t>
        <w:br/>
        <w:t xml:space="preserve">             QAI Production Company</w:t>
        <w:br/>
        <w:t xml:space="preserve">                    │</w:t>
        <w:br/>
        <w:t xml:space="preserve">          R&amp;D + Engineering + Manufacturing</w:t>
        <w:br/>
        <w:t xml:space="preserve">                    │</w:t>
        <w:br/>
        <w:t xml:space="preserve">                    ▼</w:t>
        <w:br/>
        <w:t xml:space="preserve">              QAI Products → Customers</w:t>
        <w:br/>
        <w:t xml:space="preserve">                    │</w:t>
        <w:br/>
        <w:t xml:space="preserve">                    ▼</w:t>
        <w:br/>
        <w:t xml:space="preserve">           Revenue / Royalties / Equity</w:t>
      </w:r>
    </w:p>
    <w:p>
      <w:pPr>
        <w:pStyle w:val="Heading1"/>
      </w:pPr>
      <w:r>
        <w:t>7. Why Australia Is a Priority</w:t>
      </w:r>
    </w:p>
    <w:p>
      <w:r>
        <w:t>Australia is particularly relevant because its innovation ecosystem connects IP protection, research commercialisation, deep-tech investment, university spinouts, industry partnerships and government support. Potential mechanisms include licensing for royalties or equity, research-for-equity, collaborative ventures, spinouts and company creation.</w:t>
      </w:r>
    </w:p>
    <w:p>
      <w:pPr>
        <w:pStyle w:val="Heading1"/>
      </w:pPr>
      <w:r>
        <w:t>8. Australian Government and Public-Sector Pathways</w:t>
      </w:r>
    </w:p>
    <w:tbl>
      <w:tblPr>
        <w:tblStyle w:val="TableGrid"/>
        <w:tblW w:type="auto" w:w="0"/>
        <w:tblLook w:firstColumn="1" w:firstRow="1" w:lastColumn="0" w:lastRow="0" w:noHBand="0" w:noVBand="1" w:val="04A0"/>
      </w:tblPr>
      <w:tblGrid>
        <w:gridCol w:w="4968"/>
        <w:gridCol w:w="4968"/>
      </w:tblGrid>
      <w:tr>
        <w:tc>
          <w:tcPr>
            <w:tcW w:type="dxa" w:w="4968"/>
          </w:tcPr>
          <w:p>
            <w:r>
              <w:t>Program / organisation</w:t>
            </w:r>
          </w:p>
        </w:tc>
        <w:tc>
          <w:tcPr>
            <w:tcW w:type="dxa" w:w="4968"/>
          </w:tcPr>
          <w:p>
            <w:r>
              <w:t>Potential QAI relevance</w:t>
            </w:r>
          </w:p>
        </w:tc>
      </w:tr>
      <w:tr>
        <w:tc>
          <w:tcPr>
            <w:tcW w:type="dxa" w:w="4968"/>
          </w:tcPr>
          <w:p>
            <w:r>
              <w:t>IP Australia</w:t>
            </w:r>
          </w:p>
        </w:tc>
        <w:tc>
          <w:tcPr>
            <w:tcW w:type="dxa" w:w="4968"/>
          </w:tcPr>
          <w:p>
            <w:r>
              <w:t>IP strategy, patent administration and commercialisation guidance.</w:t>
            </w:r>
          </w:p>
        </w:tc>
      </w:tr>
      <w:tr>
        <w:tc>
          <w:tcPr>
            <w:tcW w:type="dxa" w:w="4968"/>
          </w:tcPr>
          <w:p>
            <w:r>
              <w:t>Accelerating Commercialisation</w:t>
            </w:r>
          </w:p>
        </w:tc>
        <w:tc>
          <w:tcPr>
            <w:tcW w:type="dxa" w:w="4968"/>
          </w:tcPr>
          <w:p>
            <w:r>
              <w:t>Commercialisation advice, networks, specialist expertise and potential grant support for eligible businesses.</w:t>
            </w:r>
          </w:p>
        </w:tc>
      </w:tr>
      <w:tr>
        <w:tc>
          <w:tcPr>
            <w:tcW w:type="dxa" w:w="4968"/>
          </w:tcPr>
          <w:p>
            <w:r>
              <w:t>Industry Growth Program</w:t>
            </w:r>
          </w:p>
        </w:tc>
        <w:tc>
          <w:tcPr>
            <w:tcW w:type="dxa" w:w="4968"/>
          </w:tcPr>
          <w:p>
            <w:r>
              <w:t>Commercialisation strategy, business-model validation, funding avenues, investors and partnerships for eligible priority areas.</w:t>
            </w:r>
          </w:p>
        </w:tc>
      </w:tr>
      <w:tr>
        <w:tc>
          <w:tcPr>
            <w:tcW w:type="dxa" w:w="4968"/>
          </w:tcPr>
          <w:p>
            <w:r>
              <w:t>Cooperative Research Centres / CRC-P</w:t>
            </w:r>
          </w:p>
        </w:tc>
        <w:tc>
          <w:tcPr>
            <w:tcW w:type="dxa" w:w="4968"/>
          </w:tcPr>
          <w:p>
            <w:r>
              <w:t>Industry-led research and collaboration toward end-use and commercialisation.</w:t>
            </w:r>
          </w:p>
        </w:tc>
      </w:tr>
      <w:tr>
        <w:tc>
          <w:tcPr>
            <w:tcW w:type="dxa" w:w="4968"/>
          </w:tcPr>
          <w:p>
            <w:r>
              <w:t>R&amp;D Tax Incentive</w:t>
            </w:r>
          </w:p>
        </w:tc>
        <w:tc>
          <w:tcPr>
            <w:tcW w:type="dxa" w:w="4968"/>
          </w:tcPr>
          <w:p>
            <w:r>
              <w:t>Potential support for eligible R&amp;D undertaken by an Australian company.</w:t>
            </w:r>
          </w:p>
        </w:tc>
      </w:tr>
      <w:tr>
        <w:tc>
          <w:tcPr>
            <w:tcW w:type="dxa" w:w="4968"/>
          </w:tcPr>
          <w:p>
            <w:r>
              <w:t>Australian Research Council</w:t>
            </w:r>
          </w:p>
        </w:tc>
        <w:tc>
          <w:tcPr>
            <w:tcW w:type="dxa" w:w="4968"/>
          </w:tcPr>
          <w:p>
            <w:r>
              <w:t>Research funding pathways where the work fits eligible research and collaboration schemes.</w:t>
            </w:r>
          </w:p>
        </w:tc>
      </w:tr>
      <w:tr>
        <w:tc>
          <w:tcPr>
            <w:tcW w:type="dxa" w:w="4968"/>
          </w:tcPr>
          <w:p>
            <w:r>
              <w:t>CSIRO</w:t>
            </w:r>
          </w:p>
        </w:tc>
        <w:tc>
          <w:tcPr>
            <w:tcW w:type="dxa" w:w="4968"/>
          </w:tcPr>
          <w:p>
            <w:r>
              <w:t>Research collaboration and commercialisation precedent, including licensing, equity, ventures and spinouts.</w:t>
            </w:r>
          </w:p>
        </w:tc>
      </w:tr>
    </w:tbl>
    <w:p>
      <w:r>
        <w:t>Eligibility, timing, Australian entity requirements and funding conditions must be verified when applications are made. Government programs are potential pathways, not assumed funding.</w:t>
      </w:r>
    </w:p>
    <w:p>
      <w:pPr>
        <w:pStyle w:val="Heading1"/>
      </w:pPr>
      <w:r>
        <w:t>9. Australian Organisations and Companies to Investigate</w:t>
      </w:r>
    </w:p>
    <w:tbl>
      <w:tblPr>
        <w:tblStyle w:val="TableGrid"/>
        <w:tblW w:type="auto" w:w="0"/>
        <w:tblLook w:firstColumn="1" w:firstRow="1" w:lastColumn="0" w:lastRow="0" w:noHBand="0" w:noVBand="1" w:val="04A0"/>
      </w:tblPr>
      <w:tblGrid>
        <w:gridCol w:w="3312"/>
        <w:gridCol w:w="3312"/>
        <w:gridCol w:w="3312"/>
      </w:tblGrid>
      <w:tr>
        <w:tc>
          <w:tcPr>
            <w:tcW w:type="dxa" w:w="3312"/>
          </w:tcPr>
          <w:p>
            <w:r>
              <w:t>Organisation</w:t>
            </w:r>
          </w:p>
        </w:tc>
        <w:tc>
          <w:tcPr>
            <w:tcW w:type="dxa" w:w="3312"/>
          </w:tcPr>
          <w:p>
            <w:r>
              <w:t>Primary role</w:t>
            </w:r>
          </w:p>
        </w:tc>
        <w:tc>
          <w:tcPr>
            <w:tcW w:type="dxa" w:w="3312"/>
          </w:tcPr>
          <w:p>
            <w:r>
              <w:t>Potential QAI relevance</w:t>
            </w:r>
          </w:p>
        </w:tc>
      </w:tr>
      <w:tr>
        <w:tc>
          <w:tcPr>
            <w:tcW w:type="dxa" w:w="3312"/>
          </w:tcPr>
          <w:p>
            <w:r>
              <w:t>Main Sequence</w:t>
            </w:r>
          </w:p>
        </w:tc>
        <w:tc>
          <w:tcPr>
            <w:tcW w:type="dxa" w:w="3312"/>
          </w:tcPr>
          <w:p>
            <w:r>
              <w:t>Deep-tech investment and company building</w:t>
            </w:r>
          </w:p>
        </w:tc>
        <w:tc>
          <w:tcPr>
            <w:tcW w:type="dxa" w:w="3312"/>
          </w:tcPr>
          <w:p>
            <w:r>
              <w:t>Potential capital and venture-building partner for an Australian QAI company.</w:t>
            </w:r>
          </w:p>
        </w:tc>
      </w:tr>
      <w:tr>
        <w:tc>
          <w:tcPr>
            <w:tcW w:type="dxa" w:w="3312"/>
          </w:tcPr>
          <w:p>
            <w:r>
              <w:t>IP Group Australia</w:t>
            </w:r>
          </w:p>
        </w:tc>
        <w:tc>
          <w:tcPr>
            <w:tcW w:type="dxa" w:w="3312"/>
          </w:tcPr>
          <w:p>
            <w:r>
              <w:t>Patient capital and research commercialisation</w:t>
            </w:r>
          </w:p>
        </w:tc>
        <w:tc>
          <w:tcPr>
            <w:tcW w:type="dxa" w:w="3312"/>
          </w:tcPr>
          <w:p>
            <w:r>
              <w:t>Potential investment and company-building pathway around defensible IP.</w:t>
            </w:r>
          </w:p>
        </w:tc>
      </w:tr>
      <w:tr>
        <w:tc>
          <w:tcPr>
            <w:tcW w:type="dxa" w:w="3312"/>
          </w:tcPr>
          <w:p>
            <w:r>
              <w:t>JourneyTech</w:t>
            </w:r>
          </w:p>
        </w:tc>
        <w:tc>
          <w:tcPr>
            <w:tcW w:type="dxa" w:w="3312"/>
          </w:tcPr>
          <w:p>
            <w:r>
              <w:t>IP commercialisation, diligence, strategy, transactions and capital raising</w:t>
            </w:r>
          </w:p>
        </w:tc>
        <w:tc>
          <w:tcPr>
            <w:tcW w:type="dxa" w:w="3312"/>
          </w:tcPr>
          <w:p>
            <w:r>
              <w:t>Potential adviser to turn selected QAI IP into an investable proposition.</w:t>
            </w:r>
          </w:p>
        </w:tc>
      </w:tr>
      <w:tr>
        <w:tc>
          <w:tcPr>
            <w:tcW w:type="dxa" w:w="3312"/>
          </w:tcPr>
          <w:p>
            <w:r>
              <w:t>Cicada Innovations</w:t>
            </w:r>
          </w:p>
        </w:tc>
        <w:tc>
          <w:tcPr>
            <w:tcW w:type="dxa" w:w="3312"/>
          </w:tcPr>
          <w:p>
            <w:r>
              <w:t>Deep-tech incubation, mentors, investors and industry connections</w:t>
            </w:r>
          </w:p>
        </w:tc>
        <w:tc>
          <w:tcPr>
            <w:tcW w:type="dxa" w:w="3312"/>
          </w:tcPr>
          <w:p>
            <w:r>
              <w:t>Potential venture-development environment for QAI Lab / spinout.</w:t>
            </w:r>
          </w:p>
        </w:tc>
      </w:tr>
      <w:tr>
        <w:tc>
          <w:tcPr>
            <w:tcW w:type="dxa" w:w="3312"/>
          </w:tcPr>
          <w:p>
            <w:r>
              <w:t>CSIRO</w:t>
            </w:r>
          </w:p>
        </w:tc>
        <w:tc>
          <w:tcPr>
            <w:tcW w:type="dxa" w:w="3312"/>
          </w:tcPr>
          <w:p>
            <w:r>
              <w:t>Research and commercialisation</w:t>
            </w:r>
          </w:p>
        </w:tc>
        <w:tc>
          <w:tcPr>
            <w:tcW w:type="dxa" w:w="3312"/>
          </w:tcPr>
          <w:p>
            <w:r>
              <w:t>Strong Australian precedent and possible research/commercialisation partner.</w:t>
            </w:r>
          </w:p>
        </w:tc>
      </w:tr>
      <w:tr>
        <w:tc>
          <w:tcPr>
            <w:tcW w:type="dxa" w:w="3312"/>
          </w:tcPr>
          <w:p>
            <w:r>
              <w:t>Advanced Navigation</w:t>
            </w:r>
          </w:p>
        </w:tc>
        <w:tc>
          <w:tcPr>
            <w:tcW w:type="dxa" w:w="3312"/>
          </w:tcPr>
          <w:p>
            <w:r>
              <w:t>Australian deep-tech R&amp;D, hardware, software and manufacturing</w:t>
            </w:r>
          </w:p>
        </w:tc>
        <w:tc>
          <w:tcPr>
            <w:tcW w:type="dxa" w:w="3312"/>
          </w:tcPr>
          <w:p>
            <w:r>
              <w:t>Potential example of the type of strategic production company to investigate; actual fit requires separate assessment.</w:t>
            </w:r>
          </w:p>
        </w:tc>
      </w:tr>
      <w:tr>
        <w:tc>
          <w:tcPr>
            <w:tcW w:type="dxa" w:w="3312"/>
          </w:tcPr>
          <w:p>
            <w:r>
              <w:t>UNSW / UNSW commercialisation ecosystem</w:t>
            </w:r>
          </w:p>
        </w:tc>
        <w:tc>
          <w:tcPr>
            <w:tcW w:type="dxa" w:w="3312"/>
          </w:tcPr>
          <w:p>
            <w:r>
              <w:t>Deep-tech research, spinouts and investment</w:t>
            </w:r>
          </w:p>
        </w:tc>
        <w:tc>
          <w:tcPr>
            <w:tcW w:type="dxa" w:w="3312"/>
          </w:tcPr>
          <w:p>
            <w:r>
              <w:t>Potential research and commercialisation pathway, especially for AI/quantum.</w:t>
            </w:r>
          </w:p>
        </w:tc>
      </w:tr>
      <w:tr>
        <w:tc>
          <w:tcPr>
            <w:tcW w:type="dxa" w:w="3312"/>
          </w:tcPr>
          <w:p>
            <w:r>
              <w:t>Proto Axiom</w:t>
            </w:r>
          </w:p>
        </w:tc>
        <w:tc>
          <w:tcPr>
            <w:tcW w:type="dxa" w:w="3312"/>
          </w:tcPr>
          <w:p>
            <w:r>
              <w:t>Permanent-capital company creation and IP commercialisation model</w:t>
            </w:r>
          </w:p>
        </w:tc>
        <w:tc>
          <w:tcPr>
            <w:tcW w:type="dxa" w:w="3312"/>
          </w:tcPr>
          <w:p>
            <w:r>
              <w:t>Useful structural benchmark, although its current focus is biotech.</w:t>
            </w:r>
          </w:p>
        </w:tc>
      </w:tr>
    </w:tbl>
    <w:p>
      <w:r>
        <w:t>These are candidates for investigation, not endorsements or rankings. Their roles differ: some are investors, some commercialisation advisers, some research institutions and some operating-company examples.</w:t>
      </w:r>
    </w:p>
    <w:p>
      <w:pPr>
        <w:pStyle w:val="Heading1"/>
      </w:pPr>
      <w:r>
        <w:t>10. Australian IP and Transactional Legal Capability</w:t>
      </w:r>
    </w:p>
    <w:tbl>
      <w:tblPr>
        <w:tblStyle w:val="TableGrid"/>
        <w:tblW w:type="auto" w:w="0"/>
        <w:tblLook w:firstColumn="1" w:firstRow="1" w:lastColumn="0" w:lastRow="0" w:noHBand="0" w:noVBand="1" w:val="04A0"/>
      </w:tblPr>
      <w:tblGrid>
        <w:gridCol w:w="4968"/>
        <w:gridCol w:w="4968"/>
      </w:tblGrid>
      <w:tr>
        <w:tc>
          <w:tcPr>
            <w:tcW w:type="dxa" w:w="4968"/>
          </w:tcPr>
          <w:p>
            <w:r>
              <w:t>Firm</w:t>
            </w:r>
          </w:p>
        </w:tc>
        <w:tc>
          <w:tcPr>
            <w:tcW w:type="dxa" w:w="4968"/>
          </w:tcPr>
          <w:p>
            <w:r>
              <w:t>Potential relevance</w:t>
            </w:r>
          </w:p>
        </w:tc>
      </w:tr>
      <w:tr>
        <w:tc>
          <w:tcPr>
            <w:tcW w:type="dxa" w:w="4968"/>
          </w:tcPr>
          <w:p>
            <w:r>
              <w:t>King &amp; Wood Mallesons</w:t>
            </w:r>
          </w:p>
        </w:tc>
        <w:tc>
          <w:tcPr>
            <w:tcW w:type="dxa" w:w="4968"/>
          </w:tcPr>
          <w:p>
            <w:r>
              <w:t>IP commercialisation, licensing, complex IP transactions and technology-sector work.</w:t>
            </w:r>
          </w:p>
        </w:tc>
      </w:tr>
      <w:tr>
        <w:tc>
          <w:tcPr>
            <w:tcW w:type="dxa" w:w="4968"/>
          </w:tcPr>
          <w:p>
            <w:r>
              <w:t>Herbert Smith Freehills Kramer</w:t>
            </w:r>
          </w:p>
        </w:tc>
        <w:tc>
          <w:tcPr>
            <w:tcW w:type="dxa" w:w="4968"/>
          </w:tcPr>
          <w:p>
            <w:r>
              <w:t>IP transactions, investment, acquisition, licensing, collaboration and commercialisation.</w:t>
            </w:r>
          </w:p>
        </w:tc>
      </w:tr>
      <w:tr>
        <w:tc>
          <w:tcPr>
            <w:tcW w:type="dxa" w:w="4968"/>
          </w:tcPr>
          <w:p>
            <w:r>
              <w:t>Piper Alderman</w:t>
            </w:r>
          </w:p>
        </w:tc>
        <w:tc>
          <w:tcPr>
            <w:tcW w:type="dxa" w:w="4968"/>
          </w:tcPr>
          <w:p>
            <w:r>
              <w:t>Patent portfolio, licensing, assignment, commercialisation and IP due diligence.</w:t>
            </w:r>
          </w:p>
        </w:tc>
      </w:tr>
    </w:tbl>
    <w:p>
      <w:r>
        <w:t>The preferred legal adviser should independently represent the QAI/Bhadale IT IP owner and cover transactional IP as well as patent strategy.</w:t>
      </w:r>
    </w:p>
    <w:p>
      <w:pPr>
        <w:pStyle w:val="Heading1"/>
      </w:pPr>
      <w:r>
        <w:t>11. Four Company Models to Test</w:t>
      </w:r>
    </w:p>
    <w:tbl>
      <w:tblPr>
        <w:tblStyle w:val="TableGrid"/>
        <w:tblW w:type="auto" w:w="0"/>
        <w:tblLook w:firstColumn="1" w:firstRow="1" w:lastColumn="0" w:lastRow="0" w:noHBand="0" w:noVBand="1" w:val="04A0"/>
      </w:tblPr>
      <w:tblGrid>
        <w:gridCol w:w="3312"/>
        <w:gridCol w:w="3312"/>
        <w:gridCol w:w="3312"/>
      </w:tblGrid>
      <w:tr>
        <w:tc>
          <w:tcPr>
            <w:tcW w:type="dxa" w:w="3312"/>
          </w:tcPr>
          <w:p>
            <w:r>
              <w:t>Model</w:t>
            </w:r>
          </w:p>
        </w:tc>
        <w:tc>
          <w:tcPr>
            <w:tcW w:type="dxa" w:w="3312"/>
          </w:tcPr>
          <w:p>
            <w:r>
              <w:t>Description</w:t>
            </w:r>
          </w:p>
        </w:tc>
        <w:tc>
          <w:tcPr>
            <w:tcW w:type="dxa" w:w="3312"/>
          </w:tcPr>
          <w:p>
            <w:r>
              <w:t>Fit</w:t>
            </w:r>
          </w:p>
        </w:tc>
      </w:tr>
      <w:tr>
        <w:tc>
          <w:tcPr>
            <w:tcW w:type="dxa" w:w="3312"/>
          </w:tcPr>
          <w:p>
            <w:r>
              <w:t>Research-commercialisation company</w:t>
            </w:r>
          </w:p>
        </w:tc>
        <w:tc>
          <w:tcPr>
            <w:tcW w:type="dxa" w:w="3312"/>
          </w:tcPr>
          <w:p>
            <w:r>
              <w:t>Funds R&amp;D and converts research into products and businesses.</w:t>
            </w:r>
          </w:p>
        </w:tc>
        <w:tc>
          <w:tcPr>
            <w:tcW w:type="dxa" w:w="3312"/>
          </w:tcPr>
          <w:p>
            <w:r>
              <w:t>High potential</w:t>
            </w:r>
          </w:p>
        </w:tc>
      </w:tr>
      <w:tr>
        <w:tc>
          <w:tcPr>
            <w:tcW w:type="dxa" w:w="3312"/>
          </w:tcPr>
          <w:p>
            <w:r>
              <w:t>Deep-tech venture / spinout</w:t>
            </w:r>
          </w:p>
        </w:tc>
        <w:tc>
          <w:tcPr>
            <w:tcW w:type="dxa" w:w="3312"/>
          </w:tcPr>
          <w:p>
            <w:r>
              <w:t>New Australian company built around selected QAI patent families.</w:t>
            </w:r>
          </w:p>
        </w:tc>
        <w:tc>
          <w:tcPr>
            <w:tcW w:type="dxa" w:w="3312"/>
          </w:tcPr>
          <w:p>
            <w:r>
              <w:t>High potential</w:t>
            </w:r>
          </w:p>
        </w:tc>
      </w:tr>
      <w:tr>
        <w:tc>
          <w:tcPr>
            <w:tcW w:type="dxa" w:w="3312"/>
          </w:tcPr>
          <w:p>
            <w:r>
              <w:t>Strategic MNC innovation company</w:t>
            </w:r>
          </w:p>
        </w:tc>
        <w:tc>
          <w:tcPr>
            <w:tcW w:type="dxa" w:w="3312"/>
          </w:tcPr>
          <w:p>
            <w:r>
              <w:t>MNC supplies capital, engineering, manufacturing and global market access.</w:t>
            </w:r>
          </w:p>
        </w:tc>
        <w:tc>
          <w:tcPr>
            <w:tcW w:type="dxa" w:w="3312"/>
          </w:tcPr>
          <w:p>
            <w:r>
              <w:t>Potentially high; depends on fit</w:t>
            </w:r>
          </w:p>
        </w:tc>
      </w:tr>
      <w:tr>
        <w:tc>
          <w:tcPr>
            <w:tcW w:type="dxa" w:w="3312"/>
          </w:tcPr>
          <w:p>
            <w:r>
              <w:t>Production Company + QAI Research Lab</w:t>
            </w:r>
          </w:p>
        </w:tc>
        <w:tc>
          <w:tcPr>
            <w:tcW w:type="dxa" w:w="3312"/>
          </w:tcPr>
          <w:p>
            <w:r>
              <w:t>Operating company commercialises while QAI Lab continues research.</w:t>
            </w:r>
          </w:p>
        </w:tc>
        <w:tc>
          <w:tcPr>
            <w:tcW w:type="dxa" w:w="3312"/>
          </w:tcPr>
          <w:p>
            <w:r>
              <w:t>Closest to desired long-term architecture</w:t>
            </w:r>
          </w:p>
        </w:tc>
      </w:tr>
    </w:tbl>
    <w:p>
      <w:pPr>
        <w:pStyle w:val="Heading1"/>
      </w:pPr>
      <w:r>
        <w:t>12. Terms to Protect in Any Transaction</w:t>
      </w:r>
    </w:p>
    <w:p>
      <w:pPr>
        <w:pStyle w:val="ListBullet"/>
      </w:pPr>
      <w:r>
        <w:t>Underlying IP ownership remains with the designated Bhadale IT/QAI IP entity unless a specific asset is intentionally assigned.</w:t>
      </w:r>
    </w:p>
    <w:p>
      <w:pPr>
        <w:pStyle w:val="ListBullet"/>
      </w:pPr>
      <w:r>
        <w:t>Licence scope is explicitly defined by field, product, territory, geography and term.</w:t>
      </w:r>
    </w:p>
    <w:p>
      <w:pPr>
        <w:pStyle w:val="ListBullet"/>
      </w:pPr>
      <w:r>
        <w:t>Investment obligations and development milestones are measurable.</w:t>
      </w:r>
    </w:p>
    <w:p>
      <w:pPr>
        <w:pStyle w:val="ListBullet"/>
      </w:pPr>
      <w:r>
        <w:t>Commercialisation rights expand only when agreed milestones are met, where appropriate.</w:t>
      </w:r>
    </w:p>
    <w:p>
      <w:pPr>
        <w:pStyle w:val="ListBullet"/>
      </w:pPr>
      <w:r>
        <w:t>Sublicensing is controlled and economically transparent.</w:t>
      </w:r>
    </w:p>
    <w:p>
      <w:pPr>
        <w:pStyle w:val="ListBullet"/>
      </w:pPr>
      <w:r>
        <w:t>Royalty calculation, payment timing, reporting and audit rights are defined.</w:t>
      </w:r>
    </w:p>
    <w:p>
      <w:pPr>
        <w:pStyle w:val="ListBullet"/>
      </w:pPr>
      <w:r>
        <w:t>Investment recovery and investor return mechanics are transparent.</w:t>
      </w:r>
    </w:p>
    <w:p>
      <w:pPr>
        <w:pStyle w:val="ListBullet"/>
      </w:pPr>
      <w:r>
        <w:t>Founder/inventor technical participation is documented.</w:t>
      </w:r>
    </w:p>
    <w:p>
      <w:pPr>
        <w:pStyle w:val="ListBullet"/>
      </w:pPr>
      <w:r>
        <w:t>QAI Lab research participation is documented.</w:t>
      </w:r>
    </w:p>
    <w:p>
      <w:pPr>
        <w:pStyle w:val="ListBullet"/>
      </w:pPr>
      <w:r>
        <w:t>Foreground IP, improvements and jointly developed inventions have explicit ownership rules.</w:t>
      </w:r>
    </w:p>
    <w:p>
      <w:pPr>
        <w:pStyle w:val="ListBullet"/>
      </w:pPr>
      <w:r>
        <w:t>Confidentiality, publication, know-how and trade-secret provisions are defined.</w:t>
      </w:r>
    </w:p>
    <w:p>
      <w:pPr>
        <w:pStyle w:val="ListBullet"/>
      </w:pPr>
      <w:r>
        <w:t>Change-of-control provisions protect the IP owner.</w:t>
      </w:r>
    </w:p>
    <w:p>
      <w:pPr>
        <w:pStyle w:val="ListBullet"/>
      </w:pPr>
      <w:r>
        <w:t>Termination and reversion rights apply if the licensee fails to commercialise or meet agreed commitments.</w:t>
      </w:r>
    </w:p>
    <w:p>
      <w:pPr>
        <w:pStyle w:val="Heading1"/>
      </w:pPr>
      <w:r>
        <w:t>13. Recommended QAI Commercialisation Package</w:t>
      </w:r>
    </w:p>
    <w:p>
      <w:r>
        <w:t>The complete internal patent catalogue should not be the first document sent to prospective investors or production companies. A smaller commercialisation-focused package should be prepared first.</w:t>
      </w:r>
    </w:p>
    <w:p>
      <w:pPr>
        <w:pStyle w:val="ListBullet"/>
      </w:pPr>
      <w:r>
        <w:t>QAI Commercialisation Teaser — 5–10 strongest technology/patent families.</w:t>
      </w:r>
    </w:p>
    <w:p>
      <w:pPr>
        <w:pStyle w:val="ListBullet"/>
      </w:pPr>
      <w:r>
        <w:t>IP Ownership Summary — ownership, inventorship, filing jurisdictions, priority dates and status.</w:t>
      </w:r>
    </w:p>
    <w:p>
      <w:pPr>
        <w:pStyle w:val="ListBullet"/>
      </w:pPr>
      <w:r>
        <w:t>Technology Brief — problem, QAI solution, differentiation and maturity.</w:t>
      </w:r>
    </w:p>
    <w:p>
      <w:pPr>
        <w:pStyle w:val="ListBullet"/>
      </w:pPr>
      <w:r>
        <w:t>Product Mapping — patent family → product → industry → customer → production pathway.</w:t>
      </w:r>
    </w:p>
    <w:p>
      <w:pPr>
        <w:pStyle w:val="ListBullet"/>
      </w:pPr>
      <w:r>
        <w:t>Market Thesis — target industries, customer categories and applications.</w:t>
      </w:r>
    </w:p>
    <w:p>
      <w:pPr>
        <w:pStyle w:val="ListBullet"/>
      </w:pPr>
      <w:r>
        <w:t>Commercialisation Roadmap — prototype → pilot → production → market expansion.</w:t>
      </w:r>
    </w:p>
    <w:p>
      <w:pPr>
        <w:pStyle w:val="ListBullet"/>
      </w:pPr>
      <w:r>
        <w:t>Investment Requirement — development, engineering, certification, manufacturing and market-entry capital.</w:t>
      </w:r>
    </w:p>
    <w:p>
      <w:pPr>
        <w:pStyle w:val="ListBullet"/>
      </w:pPr>
      <w:r>
        <w:t>Licence Concept — limited licence, milestones, territory/field restrictions and royalty framework.</w:t>
      </w:r>
    </w:p>
    <w:p>
      <w:pPr>
        <w:pStyle w:val="ListBullet"/>
      </w:pPr>
      <w:r>
        <w:t>Founder Participation — proposed technical/research role and QAI Lab relationship.</w:t>
      </w:r>
    </w:p>
    <w:p>
      <w:pPr>
        <w:pStyle w:val="ListBullet"/>
      </w:pPr>
      <w:r>
        <w:t>Due-Diligence Annex — detailed patent portfolio and technical evidence under NDA.</w:t>
      </w:r>
    </w:p>
    <w:p>
      <w:pPr>
        <w:pStyle w:val="Heading1"/>
      </w:pPr>
      <w:r>
        <w:t>14. Proposed Australian Outreach Sequence</w:t>
      </w:r>
    </w:p>
    <w:p>
      <w:pPr>
        <w:pStyle w:val="ListNumber"/>
      </w:pPr>
      <w:r>
        <w:t>Prepare the QAI Commercialisation Teaser around the strongest 5–10 patent families.</w:t>
      </w:r>
    </w:p>
    <w:p>
      <w:pPr>
        <w:pStyle w:val="ListNumber"/>
      </w:pPr>
      <w:r>
        <w:t>Obtain independent IP/legal review before disclosure.</w:t>
      </w:r>
    </w:p>
    <w:p>
      <w:pPr>
        <w:pStyle w:val="ListNumber"/>
      </w:pPr>
      <w:r>
        <w:t>Approach a commercialisation adviser to test the proposition and transaction pathway.</w:t>
      </w:r>
    </w:p>
    <w:p>
      <w:pPr>
        <w:pStyle w:val="ListNumber"/>
      </w:pPr>
      <w:r>
        <w:t>Engage deep-tech investment organisations such as Main Sequence and IP Group Australia.</w:t>
      </w:r>
    </w:p>
    <w:p>
      <w:pPr>
        <w:pStyle w:val="ListNumber"/>
      </w:pPr>
      <w:r>
        <w:t>Explore research/commercialisation relationships with CSIRO and appropriate universities.</w:t>
      </w:r>
    </w:p>
    <w:p>
      <w:pPr>
        <w:pStyle w:val="ListNumber"/>
      </w:pPr>
      <w:r>
        <w:t>Identify strategic production companies and MNC innovation organisations capable of productisation and manufacturing.</w:t>
      </w:r>
    </w:p>
    <w:p>
      <w:pPr>
        <w:pStyle w:val="ListNumber"/>
      </w:pPr>
      <w:r>
        <w:t>Discuss the limited-licence, investment-recovery and royalty structure before releasing detailed confidential IP.</w:t>
      </w:r>
    </w:p>
    <w:p>
      <w:pPr>
        <w:pStyle w:val="ListNumber"/>
      </w:pPr>
      <w:r>
        <w:t>Use NDA and controlled due diligence before disclosing the complete QAI portfolio.</w:t>
      </w:r>
    </w:p>
    <w:p>
      <w:pPr>
        <w:pStyle w:val="ListNumber"/>
      </w:pPr>
      <w:r>
        <w:t>Assess government programs after the Australian entity, project scope and eligibility pathway are defined.</w:t>
      </w:r>
    </w:p>
    <w:p>
      <w:pPr>
        <w:pStyle w:val="Heading1"/>
      </w:pPr>
      <w:r>
        <w:t>15. Strategic Direction</w:t>
      </w:r>
    </w:p>
    <w:p>
      <w:r>
        <w:t>The preferred QAI journey is an IP-backed company-building strategy rather than a simple patent-sale exercise. The target outcome is an Australian or internationally oriented production/commercialisation company that can receive limited rights to selected QAI technologies, invest in their development, build products and access markets, while Bhadale IT/QAI retains defined IP boundaries and the founder remains actively involved in research and technical development.</w:t>
      </w:r>
    </w:p>
    <w:p>
      <w:r>
        <w:t>This creates a bridge between the existing QAI Research/PoC Lab and a commercial production organisation: the lab continues to generate and mature technology, while the production company turns selected mature technologies into products, revenue and licensing opportunities.</w:t>
      </w:r>
    </w:p>
    <w:p>
      <w:pPr>
        <w:pStyle w:val="Heading1"/>
      </w:pPr>
      <w:r>
        <w:t>16. Reference Links Used in the Discussion</w:t>
      </w:r>
    </w:p>
    <w:p>
      <w:pPr>
        <w:pStyle w:val="ListBullet"/>
      </w:pPr>
      <w:r>
        <w:rPr>
          <w:b/>
        </w:rPr>
        <w:t xml:space="preserve">IP Australia — How to commercialise my IP: </w:t>
      </w:r>
      <w:r>
        <w:t>https://www.ipaustralia.gov.au/manage-my-ip/how-to-commercialise-my-ip</w:t>
      </w:r>
    </w:p>
    <w:p>
      <w:pPr>
        <w:pStyle w:val="ListBullet"/>
      </w:pPr>
      <w:r>
        <w:rPr>
          <w:b/>
        </w:rPr>
        <w:t xml:space="preserve">IP Australia — How to license my IP: </w:t>
      </w:r>
      <w:r>
        <w:t>https://www.ipaustralia.gov.au/manage-my-ip/how-to-commercialise-my-ip/how-to-license-my-ip</w:t>
      </w:r>
    </w:p>
    <w:p>
      <w:pPr>
        <w:pStyle w:val="ListBullet"/>
      </w:pPr>
      <w:r>
        <w:rPr>
          <w:b/>
        </w:rPr>
        <w:t xml:space="preserve">CSIRO — IP Commercialisation: </w:t>
      </w:r>
      <w:r>
        <w:t>https://www.csiro.au/en/work-with-us/ip-commercialisation</w:t>
      </w:r>
    </w:p>
    <w:p>
      <w:pPr>
        <w:pStyle w:val="ListBullet"/>
      </w:pPr>
      <w:r>
        <w:rPr>
          <w:b/>
        </w:rPr>
        <w:t xml:space="preserve">CSIRO — How we commercialise research: </w:t>
      </w:r>
      <w:r>
        <w:t>https://www.csiro.au/en/work-with-us/ip-commercialisation/How-we-commercialise-research</w:t>
      </w:r>
    </w:p>
    <w:p>
      <w:pPr>
        <w:pStyle w:val="ListBullet"/>
      </w:pPr>
      <w:r>
        <w:rPr>
          <w:b/>
        </w:rPr>
        <w:t xml:space="preserve">Main Sequence: </w:t>
      </w:r>
      <w:r>
        <w:t>https://www.mseq.vc/</w:t>
      </w:r>
    </w:p>
    <w:p>
      <w:pPr>
        <w:pStyle w:val="ListBullet"/>
      </w:pPr>
      <w:r>
        <w:rPr>
          <w:b/>
        </w:rPr>
        <w:t xml:space="preserve">IP Group: </w:t>
      </w:r>
      <w:r>
        <w:t>https://www.ipgroupplc.com/</w:t>
      </w:r>
    </w:p>
    <w:p>
      <w:pPr>
        <w:pStyle w:val="ListBullet"/>
      </w:pPr>
      <w:r>
        <w:rPr>
          <w:b/>
        </w:rPr>
        <w:t xml:space="preserve">JourneyTech: </w:t>
      </w:r>
      <w:r>
        <w:t>https://journeytech.com.au/</w:t>
      </w:r>
    </w:p>
    <w:p>
      <w:pPr>
        <w:pStyle w:val="ListBullet"/>
      </w:pPr>
      <w:r>
        <w:rPr>
          <w:b/>
        </w:rPr>
        <w:t xml:space="preserve">Cicada Innovations: </w:t>
      </w:r>
      <w:r>
        <w:t>https://www.cicadainnovations.com/</w:t>
      </w:r>
    </w:p>
    <w:p>
      <w:pPr>
        <w:pStyle w:val="ListBullet"/>
      </w:pPr>
      <w:r>
        <w:rPr>
          <w:b/>
        </w:rPr>
        <w:t xml:space="preserve">Australian Government — Accelerating Commercialisation: </w:t>
      </w:r>
      <w:r>
        <w:t>https://business.gov.au/Grants-and-Programs/Accelerating-Commercialisation</w:t>
      </w:r>
    </w:p>
    <w:p>
      <w:pPr>
        <w:pStyle w:val="ListBullet"/>
      </w:pPr>
      <w:r>
        <w:rPr>
          <w:b/>
        </w:rPr>
        <w:t xml:space="preserve">Australian Government — Industry Growth Program: </w:t>
      </w:r>
      <w:r>
        <w:t>https://business.gov.au/grants-and-programs/industry-growth-program</w:t>
      </w:r>
    </w:p>
    <w:p>
      <w:pPr>
        <w:pStyle w:val="ListBullet"/>
      </w:pPr>
      <w:r>
        <w:rPr>
          <w:b/>
        </w:rPr>
        <w:t xml:space="preserve">Australian Government — Cooperative Research Centres: </w:t>
      </w:r>
      <w:r>
        <w:t>https://www.industry.gov.au/science-technology-and-innovation/industry-innovation/cooperative-research-centres-program</w:t>
      </w:r>
    </w:p>
    <w:p>
      <w:pPr>
        <w:pStyle w:val="ListBullet"/>
      </w:pPr>
      <w:r>
        <w:rPr>
          <w:b/>
        </w:rPr>
        <w:t xml:space="preserve">Australian Government — R&amp;D Tax Incentive: </w:t>
      </w:r>
      <w:r>
        <w:t>https://business.gov.au/Grants-and-Programs/Research-and-Development-Tax-Incentive</w:t>
      </w:r>
    </w:p>
    <w:p>
      <w:pPr>
        <w:pStyle w:val="ListBullet"/>
      </w:pPr>
      <w:r>
        <w:rPr>
          <w:b/>
        </w:rPr>
        <w:t xml:space="preserve">Australian Government — HERC IP Framework: </w:t>
      </w:r>
      <w:r>
        <w:t>https://www.education.gov.au/hercip</w:t>
      </w:r>
    </w:p>
    <w:p>
      <w:r>
        <w:rPr>
          <w:i/>
          <w:sz w:val="18"/>
        </w:rPr>
        <w:t>Important: Candidate organisations, programs and commercialisation pathways should be independently verified for current availability, eligibility, transaction appetite, funding status and conflicts before confidential IP is disclosed or any agreement is signed.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QAI IP Commercialisation &amp; Production Company Strategy | Bhadale 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