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QAI LABaaS</w:t>
        <w:br/>
        <w:t>COLOCATION &amp; CONNECTIVITY PARTNER ASSESSMENT</w:t>
      </w:r>
    </w:p>
    <w:p>
      <w:pPr>
        <w:jc w:val="center"/>
      </w:pPr>
      <w:r>
        <w:rPr>
          <w:i/>
        </w:rPr>
        <w:t>Implementation assessment for Australian classical–quantum hybrid infrastructure</w:t>
      </w:r>
    </w:p>
    <w:p>
      <w:pPr>
        <w:jc w:val="center"/>
      </w:pPr>
      <w:r>
        <w:t>Bhadale IT / QAI • Working assessment • 5 October 2026</w:t>
      </w:r>
    </w:p>
    <w:p>
      <w:pPr>
        <w:pStyle w:val="Heading1"/>
      </w:pPr>
      <w:r>
        <w:t>1. Executive Assessment</w:t>
      </w:r>
    </w:p>
    <w:p>
      <w:r>
        <w:t>QAI LabaaS is being assessed as an infrastructure-neutral client experimentation and co-design environment. The initial deployment priority is not maximum qubit count or maximum HPC scale; it is reliable, repeatable and predictable hybrid operation. The target environment should provide a suitable classical server/runtime layer, local or nearby HPC capability, appropriate clock and synchronization facilities, private connectivity where required, and access to qualified quantum backends.</w:t>
      </w:r>
    </w:p>
    <w:p>
      <w:r>
        <w:t>The assessment therefore compares data-centre/colocation and connectivity partners against the complete execution stack: classical host, OS/runtime, networking, time coordination, quantum backend access, security, evidence capture and operational reliability.</w:t>
      </w:r>
    </w:p>
    <w:p>
      <w:pPr>
        <w:pStyle w:val="Heading1"/>
      </w:pPr>
      <w:r>
        <w:t>2. QAI LabaaS Reference Operating Model</w:t>
      </w:r>
    </w:p>
    <w:p>
      <w:pPr>
        <w:pStyle w:val="ListBullet"/>
      </w:pPr>
      <w:r>
        <w:t>Client workload and acceptance criteria</w:t>
      </w:r>
    </w:p>
    <w:p>
      <w:pPr>
        <w:pStyle w:val="ListBullet"/>
      </w:pPr>
      <w:r>
        <w:t>Classical baseline and workload analysis</w:t>
      </w:r>
    </w:p>
    <w:p>
      <w:pPr>
        <w:pStyle w:val="ListBullet"/>
      </w:pPr>
      <w:r>
        <w:t>Quantum suitability and decomposition assessment</w:t>
      </w:r>
    </w:p>
    <w:p>
      <w:pPr>
        <w:pStyle w:val="ListBullet"/>
      </w:pPr>
      <w:r>
        <w:t>Time-bin/task planning and resource mapping</w:t>
      </w:r>
    </w:p>
    <w:p>
      <w:pPr>
        <w:pStyle w:val="ListBullet"/>
      </w:pPr>
      <w:r>
        <w:t>Classical control/HPC execution</w:t>
      </w:r>
    </w:p>
    <w:p>
      <w:pPr>
        <w:pStyle w:val="ListBullet"/>
      </w:pPr>
      <w:r>
        <w:t>Quantum backend execution through an adapter</w:t>
      </w:r>
    </w:p>
    <w:p>
      <w:pPr>
        <w:pStyle w:val="ListBullet"/>
      </w:pPr>
      <w:r>
        <w:t>Synchronization and measurement collection</w:t>
      </w:r>
    </w:p>
    <w:p>
      <w:pPr>
        <w:pStyle w:val="ListBullet"/>
      </w:pPr>
      <w:r>
        <w:t>Classical reduction and result assembly</w:t>
      </w:r>
    </w:p>
    <w:p>
      <w:pPr>
        <w:pStyle w:val="ListBullet"/>
      </w:pPr>
      <w:r>
        <w:t>Evidence/provenance capture</w:t>
      </w:r>
    </w:p>
    <w:p>
      <w:pPr>
        <w:pStyle w:val="ListBullet"/>
      </w:pPr>
      <w:r>
        <w:t>Comparison, adaptation, fallback or stop decision</w:t>
      </w:r>
    </w:p>
    <w:p>
      <w:pPr>
        <w:pStyle w:val="Heading1"/>
      </w:pPr>
      <w:r>
        <w:t>3. Core Selection Principle</w:t>
      </w:r>
    </w:p>
    <w:p>
      <w:r>
        <w:t>Reliability and predictability take priority over scale for the initial QAI LabaaS reference deployment. Quantum measurement remains probabilistic; the engineering objective is deterministic orchestration, bounded timing, repeatable execution procedures, observable backend behaviour and controlled result assembly.</w:t>
      </w:r>
    </w:p>
    <w:p>
      <w:r>
        <w:t>Preferred progression: Determinism → Repeatability → Reliability → Predictability → Performance → Scale.</w:t>
      </w:r>
    </w:p>
    <w:p>
      <w:pPr>
        <w:pStyle w:val="Heading1"/>
      </w:pPr>
      <w:r>
        <w:t>4. Infrastructure Stack to Assess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Assessment area</w:t>
            </w:r>
          </w:p>
        </w:tc>
        <w:tc>
          <w:tcPr>
            <w:tcW w:type="dxa" w:w="4968"/>
          </w:tcPr>
          <w:p>
            <w:r>
              <w:t>What must be validated</w:t>
            </w:r>
          </w:p>
        </w:tc>
      </w:tr>
      <w:tr>
        <w:tc>
          <w:tcPr>
            <w:tcW w:type="dxa" w:w="4968"/>
          </w:tcPr>
          <w:p>
            <w:r>
              <w:t>Classical host</w:t>
            </w:r>
          </w:p>
        </w:tc>
        <w:tc>
          <w:tcPr>
            <w:tcW w:type="dxa" w:w="4968"/>
          </w:tcPr>
          <w:p>
            <w:r>
              <w:t>Bare metal/VM, CPU architecture, memory, storage, CPU isolation, GPU/HPC options.</w:t>
            </w:r>
          </w:p>
        </w:tc>
      </w:tr>
      <w:tr>
        <w:tc>
          <w:tcPr>
            <w:tcW w:type="dxa" w:w="4968"/>
          </w:tcPr>
          <w:p>
            <w:r>
              <w:t>OS</w:t>
            </w:r>
          </w:p>
        </w:tc>
        <w:tc>
          <w:tcPr>
            <w:tcW w:type="dxa" w:w="4968"/>
          </w:tcPr>
          <w:p>
            <w:r>
              <w:t>Linux and other supported operating systems; suitability for QAI runtime and hardware access.</w:t>
            </w:r>
          </w:p>
        </w:tc>
      </w:tr>
      <w:tr>
        <w:tc>
          <w:tcPr>
            <w:tcW w:type="dxa" w:w="4968"/>
          </w:tcPr>
          <w:p>
            <w:r>
              <w:t>Real-time layer</w:t>
            </w:r>
          </w:p>
        </w:tc>
        <w:tc>
          <w:tcPr>
            <w:tcW w:type="dxa" w:w="4968"/>
          </w:tcPr>
          <w:p>
            <w:r>
              <w:t>RT Linux/real-time capabilities or RTOS suitability where bounded control timing is required.</w:t>
            </w:r>
          </w:p>
        </w:tc>
      </w:tr>
      <w:tr>
        <w:tc>
          <w:tcPr>
            <w:tcW w:type="dxa" w:w="4968"/>
          </w:tcPr>
          <w:p>
            <w:r>
              <w:t>QAI runtime</w:t>
            </w:r>
          </w:p>
        </w:tc>
        <w:tc>
          <w:tcPr>
            <w:tcW w:type="dxa" w:w="4968"/>
          </w:tcPr>
          <w:p>
            <w:r>
              <w:t>Scheduling, time-bin control, resource awareness, evidence and provider adapters.</w:t>
            </w:r>
          </w:p>
        </w:tc>
      </w:tr>
      <w:tr>
        <w:tc>
          <w:tcPr>
            <w:tcW w:type="dxa" w:w="4968"/>
          </w:tcPr>
          <w:p>
            <w:r>
              <w:t>Quantum adapter</w:t>
            </w:r>
          </w:p>
        </w:tc>
        <w:tc>
          <w:tcPr>
            <w:tcW w:type="dxa" w:w="4968"/>
          </w:tcPr>
          <w:p>
            <w:r>
              <w:t>Provider-specific API/session/circuit/measurement/calibration semantics.</w:t>
            </w:r>
          </w:p>
        </w:tc>
      </w:tr>
      <w:tr>
        <w:tc>
          <w:tcPr>
            <w:tcW w:type="dxa" w:w="4968"/>
          </w:tcPr>
          <w:p>
            <w:r>
              <w:t>HPC locality</w:t>
            </w:r>
          </w:p>
        </w:tc>
        <w:tc>
          <w:tcPr>
            <w:tcW w:type="dxa" w:w="4968"/>
          </w:tcPr>
          <w:p>
            <w:r>
              <w:t>Local or nearby CPU/GPU/HPC resource and validated network path.</w:t>
            </w:r>
          </w:p>
        </w:tc>
      </w:tr>
      <w:tr>
        <w:tc>
          <w:tcPr>
            <w:tcW w:type="dxa" w:w="4968"/>
          </w:tcPr>
          <w:p>
            <w:r>
              <w:t>Clock/time</w:t>
            </w:r>
          </w:p>
        </w:tc>
        <w:tc>
          <w:tcPr>
            <w:tcW w:type="dxa" w:w="4968"/>
          </w:tcPr>
          <w:p>
            <w:r>
              <w:t>Clock source, synchronization method, timestamp precision, drift and hardware timestamping.</w:t>
            </w:r>
          </w:p>
        </w:tc>
      </w:tr>
      <w:tr>
        <w:tc>
          <w:tcPr>
            <w:tcW w:type="dxa" w:w="4968"/>
          </w:tcPr>
          <w:p>
            <w:r>
              <w:t>Network</w:t>
            </w:r>
          </w:p>
        </w:tc>
        <w:tc>
          <w:tcPr>
            <w:tcW w:type="dxa" w:w="4968"/>
          </w:tcPr>
          <w:p>
            <w:r>
              <w:t>Latency, jitter, bandwidth, private interconnect, redundancy and routing.</w:t>
            </w:r>
          </w:p>
        </w:tc>
      </w:tr>
      <w:tr>
        <w:tc>
          <w:tcPr>
            <w:tcW w:type="dxa" w:w="4968"/>
          </w:tcPr>
          <w:p>
            <w:r>
              <w:t>Quantum backend</w:t>
            </w:r>
          </w:p>
        </w:tc>
        <w:tc>
          <w:tcPr>
            <w:tcW w:type="dxa" w:w="4968"/>
          </w:tcPr>
          <w:p>
            <w:r>
              <w:t>Capacity profile, calibration, queue/session semantics, measurement behaviour and availability.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Isolation, identity, logging, data sovereignty, private connectivity and client controls.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Ability to retain timestamps, configuration, calibration/noise information, results and provenance.</w:t>
            </w:r>
          </w:p>
        </w:tc>
      </w:tr>
      <w:tr>
        <w:tc>
          <w:tcPr>
            <w:tcW w:type="dxa" w:w="4968"/>
          </w:tcPr>
          <w:p>
            <w:r>
              <w:t>Operations</w:t>
            </w:r>
          </w:p>
        </w:tc>
        <w:tc>
          <w:tcPr>
            <w:tcW w:type="dxa" w:w="4968"/>
          </w:tcPr>
          <w:p>
            <w:r>
              <w:t>Remote hands, maintenance windows, support, failure handling and continuity.</w:t>
            </w:r>
          </w:p>
        </w:tc>
      </w:tr>
    </w:tbl>
    <w:p>
      <w:pPr>
        <w:pStyle w:val="Heading1"/>
      </w:pPr>
      <w:r>
        <w:t>5. Quantum Execution Profile</w:t>
      </w:r>
    </w:p>
    <w:p>
      <w:r>
        <w:t>The current QAI reference architecture treats the 50-qubit figure as a configurable execution-module/profile boundary, not as a universal limit on quantum computing. Larger logical workloads may be decomposed into tasks that fit available execution profiles, subject to algorithmic validity and resource constraints.</w:t>
      </w:r>
    </w:p>
    <w:p>
      <w:pPr>
        <w:pStyle w:val="ListBullet"/>
      </w:pPr>
      <w:r>
        <w:t>Maximum qubits per configured module/profile</w:t>
      </w:r>
    </w:p>
    <w:p>
      <w:pPr>
        <w:pStyle w:val="ListBullet"/>
      </w:pPr>
      <w:r>
        <w:t>Circuit depth and gate constraints</w:t>
      </w:r>
    </w:p>
    <w:p>
      <w:pPr>
        <w:pStyle w:val="ListBullet"/>
      </w:pPr>
      <w:r>
        <w:t>Shots and measurement characteristics</w:t>
      </w:r>
    </w:p>
    <w:p>
      <w:pPr>
        <w:pStyle w:val="ListBullet"/>
      </w:pPr>
      <w:r>
        <w:t>Backend latency and queue/session semantics</w:t>
      </w:r>
    </w:p>
    <w:p>
      <w:pPr>
        <w:pStyle w:val="ListBullet"/>
      </w:pPr>
      <w:r>
        <w:t>Classical feedback requirements</w:t>
      </w:r>
    </w:p>
    <w:p>
      <w:pPr>
        <w:pStyle w:val="ListBullet"/>
      </w:pPr>
      <w:r>
        <w:t>Synchronization and time-bin constraints</w:t>
      </w:r>
    </w:p>
    <w:p>
      <w:pPr>
        <w:pStyle w:val="ListBullet"/>
      </w:pPr>
      <w:r>
        <w:t>Noise/calibration state</w:t>
      </w:r>
    </w:p>
    <w:p>
      <w:pPr>
        <w:pStyle w:val="ListBullet"/>
      </w:pPr>
      <w:r>
        <w:t>Failure, retry and fallback semantics</w:t>
      </w:r>
    </w:p>
    <w:p>
      <w:pPr>
        <w:pStyle w:val="ListBullet"/>
      </w:pPr>
      <w:r>
        <w:t>Evidence and provenance availability</w:t>
      </w:r>
    </w:p>
    <w:p>
      <w:pPr>
        <w:pStyle w:val="Heading1"/>
      </w:pPr>
      <w:r>
        <w:t>6. Time-Bin and Synchronization Assessment</w:t>
      </w:r>
    </w:p>
    <w:p>
      <w:r>
        <w:t>For time-sensitive hybrid workloads, a time bin is treated as a controlled execution interval containing defined tasks, resource assignments, synchronization/barrier conditions, measurements, classical reduction and any approved result required for the next interval.</w:t>
      </w:r>
    </w:p>
    <w:p>
      <w:r>
        <w:t>Three timing domains should remain distinct: (1) physical quantum-control timing owned by the quantum hardware/control stack; (2) QAI execution time-bin coordination; and (3) the client's application/business timing requirement.</w:t>
      </w:r>
    </w:p>
    <w:p>
      <w:pPr>
        <w:pStyle w:val="Heading1"/>
      </w:pPr>
      <w:r>
        <w:t>7. Candidate Partner Assessment</w:t>
      </w:r>
    </w:p>
    <w:p>
      <w:r>
        <w:t>These are candidate infrastructure partners, not confirmed Bhadale IT partners. Quantum capability must be validated separately from general data-centre capability.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Candidate</w:t>
            </w:r>
          </w:p>
        </w:tc>
        <w:tc>
          <w:tcPr>
            <w:tcW w:type="dxa" w:w="2484"/>
          </w:tcPr>
          <w:p>
            <w:r>
              <w:t>Initial relevance</w:t>
            </w:r>
          </w:p>
        </w:tc>
        <w:tc>
          <w:tcPr>
            <w:tcW w:type="dxa" w:w="2484"/>
          </w:tcPr>
          <w:p>
            <w:r>
              <w:t>Current basis</w:t>
            </w:r>
          </w:p>
        </w:tc>
        <w:tc>
          <w:tcPr>
            <w:tcW w:type="dxa" w:w="2484"/>
          </w:tcPr>
          <w:p>
            <w:r>
              <w:t>Validation focus</w:t>
            </w:r>
          </w:p>
        </w:tc>
      </w:tr>
      <w:tr>
        <w:tc>
          <w:tcPr>
            <w:tcW w:type="dxa" w:w="2484"/>
          </w:tcPr>
          <w:p>
            <w:r>
              <w:t>NEXTDC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AI/cloud/critical-workload data centres; nationwide Tier III/IV portfolio; cloud onramps; candidate classical/QAI host.</w:t>
            </w:r>
          </w:p>
        </w:tc>
        <w:tc>
          <w:tcPr>
            <w:tcW w:type="dxa" w:w="2484"/>
          </w:tcPr>
          <w:p>
            <w:r>
              <w:t>Validate specific site, HPC/GPU, timing/PTP, interconnect, installation/remote-hands and any quantum-related ecosystem.</w:t>
            </w:r>
          </w:p>
        </w:tc>
      </w:tr>
      <w:tr>
        <w:tc>
          <w:tcPr>
            <w:tcW w:type="dxa" w:w="2484"/>
          </w:tcPr>
          <w:p>
            <w:r>
              <w:t>Equinix Australia</w:t>
            </w:r>
          </w:p>
        </w:tc>
        <w:tc>
          <w:tcPr>
            <w:tcW w:type="dxa" w:w="2484"/>
          </w:tcPr>
          <w:p>
            <w:r>
              <w:t>Very High</w:t>
            </w:r>
          </w:p>
        </w:tc>
        <w:tc>
          <w:tcPr>
            <w:tcW w:type="dxa" w:w="2484"/>
          </w:tcPr>
          <w:p>
            <w:r>
              <w:t>Strong interconnection model; public announcement of Diraq quantum deployment in a Sydney commercial data centre; cloud connectivity.</w:t>
            </w:r>
          </w:p>
        </w:tc>
        <w:tc>
          <w:tcPr>
            <w:tcW w:type="dxa" w:w="2484"/>
          </w:tcPr>
          <w:p>
            <w:r>
              <w:t>Validate target facility, Diraq access model, backend/API availability, timing, local HPC and commercial pathway.</w:t>
            </w:r>
          </w:p>
        </w:tc>
      </w:tr>
      <w:tr>
        <w:tc>
          <w:tcPr>
            <w:tcW w:type="dxa" w:w="2484"/>
          </w:tcPr>
          <w:p>
            <w:r>
              <w:t>Macquarie Data Centres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Australian sovereign high-density AI/cloud infrastructure; IC3 Super West designed for air, liquid and hybrid cooling.</w:t>
            </w:r>
          </w:p>
        </w:tc>
        <w:tc>
          <w:tcPr>
            <w:tcW w:type="dxa" w:w="2484"/>
          </w:tcPr>
          <w:p>
            <w:r>
              <w:t>Validate target facility, networking, HPC/GPU, timing, quantum ecosystem and QAI runtime deployment model.</w:t>
            </w:r>
          </w:p>
        </w:tc>
      </w:tr>
      <w:tr>
        <w:tc>
          <w:tcPr>
            <w:tcW w:type="dxa" w:w="2484"/>
          </w:tcPr>
          <w:p>
            <w:r>
              <w:t>Microsoft Azure / ExpressRoute ecosystem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Private hybrid connectivity from colocation/on-premises environments; ExpressRoute and private endpoints support private architectures.</w:t>
            </w:r>
          </w:p>
        </w:tc>
        <w:tc>
          <w:tcPr>
            <w:tcW w:type="dxa" w:w="2484"/>
          </w:tcPr>
          <w:p>
            <w:r>
              <w:t>Validate exact Azure region/service, connectivity provider, FastPath/private-endpoint behaviour and workload latency/jitter.</w:t>
            </w:r>
          </w:p>
        </w:tc>
      </w:tr>
    </w:tbl>
    <w:p>
      <w:pPr>
        <w:pStyle w:val="Heading1"/>
      </w:pPr>
      <w:r>
        <w:t>8. Connectivity Architecture</w:t>
      </w:r>
    </w:p>
    <w:p>
      <w:r>
        <w:t>A preferred hybrid pattern is a colocated client/QAI classical environment connected privately to an Azure VNet or other cloud environment, with quantum backend access through a provider-specific adapter. Microsoft documents ExpressRoute connectivity from colocation facilities, including cloud-exchange virtual cross-connections, and private endpoints for supported private-resource access.</w:t>
      </w:r>
    </w:p>
    <w:p>
      <w:r>
        <w:t>ExpressRoute should be treated as a private connectivity mechanism, while Private Link/private endpoints are service/resource access mechanisms. They should not be conflated as a single feature.</w:t>
      </w:r>
    </w:p>
    <w:p>
      <w:pPr>
        <w:pStyle w:val="Heading1"/>
      </w:pPr>
      <w:r>
        <w:t>9. QAI OS and Runtime Compatibility</w:t>
      </w:r>
    </w:p>
    <w:p>
      <w:pPr>
        <w:pStyle w:val="ListBullet"/>
      </w:pPr>
      <w:r>
        <w:t>General-purpose Linux is the likely initial host environment for QAI Lab services, APIs, notebooks, orchestration and experiment management.</w:t>
      </w:r>
    </w:p>
    <w:p>
      <w:pPr>
        <w:pStyle w:val="ListBullet"/>
      </w:pPr>
      <w:r>
        <w:t>Linux with real-time capabilities should be evaluated for components requiring bounded scheduling and timing behaviour.</w:t>
      </w:r>
    </w:p>
    <w:p>
      <w:pPr>
        <w:pStyle w:val="ListBullet"/>
      </w:pPr>
      <w:r>
        <w:t>An RTOS may become appropriate for a tightly bounded control subsystem as QAI products mature; it need not host the entire QAI Lab.</w:t>
      </w:r>
    </w:p>
    <w:p>
      <w:pPr>
        <w:pStyle w:val="ListBullet"/>
      </w:pPr>
      <w:r>
        <w:t>QAI OS, QAI Runtime and provider-specific quantum runtime/control stacks should remain separate architectural layers.</w:t>
      </w:r>
    </w:p>
    <w:p>
      <w:pPr>
        <w:pStyle w:val="ListBullet"/>
      </w:pPr>
      <w:r>
        <w:t>Provider-specific behaviour should be isolated behind quantum adapters rather than embedded in the General Factory planner.</w:t>
      </w:r>
    </w:p>
    <w:p>
      <w:pPr>
        <w:pStyle w:val="Heading1"/>
      </w:pPr>
      <w:r>
        <w:t>10. Reliability and Determinism Assessment</w:t>
      </w:r>
    </w:p>
    <w:p>
      <w:r>
        <w:t>Assessment should focus on end-to-end operational predictability rather than qubit count alone.</w:t>
      </w:r>
    </w:p>
    <w:p>
      <w:pPr>
        <w:pStyle w:val="ListBullet"/>
      </w:pPr>
      <w:r>
        <w:t>Repeatability of identical experiments</w:t>
      </w:r>
    </w:p>
    <w:p>
      <w:pPr>
        <w:pStyle w:val="ListBullet"/>
      </w:pPr>
      <w:r>
        <w:t>Clock/synchronization stability</w:t>
      </w:r>
    </w:p>
    <w:p>
      <w:pPr>
        <w:pStyle w:val="ListBullet"/>
      </w:pPr>
      <w:r>
        <w:t>Network latency and jitter</w:t>
      </w:r>
    </w:p>
    <w:p>
      <w:pPr>
        <w:pStyle w:val="ListBullet"/>
      </w:pPr>
      <w:r>
        <w:t>Backend availability and calibration stability</w:t>
      </w:r>
    </w:p>
    <w:p>
      <w:pPr>
        <w:pStyle w:val="ListBullet"/>
      </w:pPr>
      <w:r>
        <w:t>Queue/session behaviour</w:t>
      </w:r>
    </w:p>
    <w:p>
      <w:pPr>
        <w:pStyle w:val="ListBullet"/>
      </w:pPr>
      <w:r>
        <w:t>Classical feedback timing</w:t>
      </w:r>
    </w:p>
    <w:p>
      <w:pPr>
        <w:pStyle w:val="ListBullet"/>
      </w:pPr>
      <w:r>
        <w:t>Measurement consistency</w:t>
      </w:r>
    </w:p>
    <w:p>
      <w:pPr>
        <w:pStyle w:val="ListBullet"/>
      </w:pPr>
      <w:r>
        <w:t>Failure/retry semantics</w:t>
      </w:r>
    </w:p>
    <w:p>
      <w:pPr>
        <w:pStyle w:val="ListBullet"/>
      </w:pPr>
      <w:r>
        <w:t>Result-assembly integrity</w:t>
      </w:r>
    </w:p>
    <w:p>
      <w:pPr>
        <w:pStyle w:val="ListBullet"/>
      </w:pPr>
      <w:r>
        <w:t>Complete experiment provenance</w:t>
      </w:r>
    </w:p>
    <w:p>
      <w:pPr>
        <w:pStyle w:val="Heading1"/>
      </w:pPr>
      <w:r>
        <w:t>11. Proposed Partner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Criterion</w:t>
            </w:r>
          </w:p>
        </w:tc>
        <w:tc>
          <w:tcPr>
            <w:tcW w:type="dxa" w:w="3312"/>
          </w:tcPr>
          <w:p>
            <w:r>
              <w:t>Illustrative weight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Classical infrastructure suitability</w:t>
            </w:r>
          </w:p>
        </w:tc>
        <w:tc>
          <w:tcPr>
            <w:tcW w:type="dxa" w:w="3312"/>
          </w:tcPr>
          <w:p>
            <w:r>
              <w:t>20%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Quantum backend accessibility</w:t>
            </w:r>
          </w:p>
        </w:tc>
        <w:tc>
          <w:tcPr>
            <w:tcW w:type="dxa" w:w="3312"/>
          </w:tcPr>
          <w:p>
            <w:r>
              <w:t>15%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Timing and synchronization</w:t>
            </w:r>
          </w:p>
        </w:tc>
        <w:tc>
          <w:tcPr>
            <w:tcW w:type="dxa" w:w="3312"/>
          </w:tcPr>
          <w:p>
            <w:r>
              <w:t>20%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Low-latency/local HPC capability</w:t>
            </w:r>
          </w:p>
        </w:tc>
        <w:tc>
          <w:tcPr>
            <w:tcW w:type="dxa" w:w="3312"/>
          </w:tcPr>
          <w:p>
            <w:r>
              <w:t>15%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Private connectivity</w:t>
            </w:r>
          </w:p>
        </w:tc>
        <w:tc>
          <w:tcPr>
            <w:tcW w:type="dxa" w:w="3312"/>
          </w:tcPr>
          <w:p>
            <w:r>
              <w:t>10%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Reliability/observability</w:t>
            </w:r>
          </w:p>
        </w:tc>
        <w:tc>
          <w:tcPr>
            <w:tcW w:type="dxa" w:w="3312"/>
          </w:tcPr>
          <w:p>
            <w:r>
              <w:t>10%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Security/data sovereignty</w:t>
            </w:r>
          </w:p>
        </w:tc>
        <w:tc>
          <w:tcPr>
            <w:tcW w:type="dxa" w:w="3312"/>
          </w:tcPr>
          <w:p>
            <w:r>
              <w:t>5%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  <w:tr>
        <w:tc>
          <w:tcPr>
            <w:tcW w:type="dxa" w:w="3312"/>
          </w:tcPr>
          <w:p>
            <w:r>
              <w:t>Commercial/deployment flexibility</w:t>
            </w:r>
          </w:p>
        </w:tc>
        <w:tc>
          <w:tcPr>
            <w:tcW w:type="dxa" w:w="3312"/>
          </w:tcPr>
          <w:p>
            <w:r>
              <w:t>5%</w:t>
            </w:r>
          </w:p>
        </w:tc>
        <w:tc>
          <w:tcPr>
            <w:tcW w:type="dxa" w:w="3312"/>
          </w:tcPr>
          <w:p>
            <w:r>
              <w:t>To be validated</w:t>
            </w:r>
          </w:p>
        </w:tc>
      </w:tr>
    </w:tbl>
    <w:p>
      <w:r>
        <w:t>Weights are a proposed starting point, not a final procurement scoring model. Adjust them after the representative workload and site requirements are established.</w:t>
      </w:r>
    </w:p>
    <w:p>
      <w:pPr>
        <w:pStyle w:val="Heading1"/>
      </w:pPr>
      <w:r>
        <w:t>12. Implementation Assessment Sequence</w:t>
      </w:r>
    </w:p>
    <w:p>
      <w:r>
        <w:t>1. Define one representative QAI workload and classical baseline.</w:t>
      </w:r>
    </w:p>
    <w:p>
      <w:r>
        <w:t>2. Define the required time-bin, synchronization and feedback characteristics.</w:t>
      </w:r>
    </w:p>
    <w:p>
      <w:r>
        <w:t>3. Define the QAI Processor/quantum execution profile, initially including the ≤50-qubit profile.</w:t>
      </w:r>
    </w:p>
    <w:p>
      <w:r>
        <w:t>4. Identify required classical CPU/GPU/HPC capacity and locality.</w:t>
      </w:r>
    </w:p>
    <w:p>
      <w:r>
        <w:t>5. Shortlist candidate Australian data-centre sites.</w:t>
      </w:r>
    </w:p>
    <w:p>
      <w:r>
        <w:t>6. Validate network/interconnect options and measured latency/jitter.</w:t>
      </w:r>
    </w:p>
    <w:p>
      <w:r>
        <w:t>7. Validate OS, RT Linux/RTOS, container, bare-metal and device-access constraints.</w:t>
      </w:r>
    </w:p>
    <w:p>
      <w:r>
        <w:t>8. Identify accessible quantum backends and provider APIs.</w:t>
      </w:r>
    </w:p>
    <w:p>
      <w:r>
        <w:t>9. Run repeatability and reliability experiments.</w:t>
      </w:r>
    </w:p>
    <w:p>
      <w:r>
        <w:t>10. Compare evidence and select the first reference deployment environment.</w:t>
      </w:r>
    </w:p>
    <w:p>
      <w:pPr>
        <w:pStyle w:val="Heading1"/>
      </w:pPr>
      <w:r>
        <w:t>13. Current Assessment Boundaries</w:t>
      </w:r>
    </w:p>
    <w:p>
      <w:pPr>
        <w:pStyle w:val="ListBullet"/>
      </w:pPr>
      <w:r>
        <w:t>No candidate is currently a confirmed Bhadale IT partner.</w:t>
      </w:r>
    </w:p>
    <w:p>
      <w:pPr>
        <w:pStyle w:val="ListBullet"/>
      </w:pPr>
      <w:r>
        <w:t>NEXTDC, Equinix and Macquarie are infrastructure candidates; suitability for quantum workloads must be validated at facility and service level.</w:t>
      </w:r>
    </w:p>
    <w:p>
      <w:pPr>
        <w:pStyle w:val="ListBullet"/>
      </w:pPr>
      <w:r>
        <w:t>Equinix has publicly announced the Diraq Sydney deployment; this establishes a concrete commercial-data-centre quantum precedent, not automatic QAI Lab access.</w:t>
      </w:r>
    </w:p>
    <w:p>
      <w:pPr>
        <w:pStyle w:val="ListBullet"/>
      </w:pPr>
      <w:r>
        <w:t>The 50-qubit value is a QAI execution profile assumption, not a statement about the maximum capability of a provider.</w:t>
      </w:r>
    </w:p>
    <w:p>
      <w:pPr>
        <w:pStyle w:val="ListBullet"/>
      </w:pPr>
      <w:r>
        <w:t>Quantum networking, entanglement transfer, transduction, QEC or FTQC capabilities must not be inferred from ordinary data-centre or cloud connectivity.</w:t>
      </w:r>
    </w:p>
    <w:p>
      <w:pPr>
        <w:pStyle w:val="ListBullet"/>
      </w:pPr>
      <w:r>
        <w:t>Timing requirements must be derived from the actual workload and backend rather than applying a universal latency threshold.</w:t>
      </w:r>
    </w:p>
    <w:p>
      <w:pPr>
        <w:pStyle w:val="ListBullet"/>
      </w:pPr>
      <w:r>
        <w:t>Numerical commercial costs, staffing requirements and deployment commitments are intentionally not estimated.</w:t>
      </w:r>
    </w:p>
    <w:p>
      <w:pPr>
        <w:pStyle w:val="Heading1"/>
      </w:pPr>
      <w:r>
        <w:t>14. Recommended Next Step</w:t>
      </w:r>
    </w:p>
    <w:p>
      <w:r>
        <w:t>Create a detailed partner/site qualification matrix for NEXTDC, Equinix and Macquarie, followed by identification of compatible quantum backends and private-connectivity options. Select the first deployment by measured end-to-end reliability and predictability, not by maximum qubit count or maximum HPC capacity.</w:t>
      </w:r>
    </w:p>
    <w:p>
      <w:pPr>
        <w:pStyle w:val="Heading1"/>
      </w:pPr>
      <w:r>
        <w:t>15. Reference Sources</w:t>
      </w:r>
    </w:p>
    <w:p>
      <w:pPr>
        <w:pStyle w:val="ListBullet"/>
      </w:pPr>
      <w:r>
        <w:t>NEXTDC – Data Centres for AI, Cloud and Critical Workloads — https://www.nextdc.com/data-centres</w:t>
      </w:r>
    </w:p>
    <w:p>
      <w:pPr>
        <w:pStyle w:val="ListBullet"/>
      </w:pPr>
      <w:r>
        <w:t>Equinix – Diraq quantum computer deployment in Sydney — https://newsroom.equinix.com/2026-09-01-Diraq-and-Equinix-to-Deploy-Australias-First-Quantum-Computer-Inside-a-Data-Centre</w:t>
      </w:r>
    </w:p>
    <w:p>
      <w:pPr>
        <w:pStyle w:val="ListBullet"/>
      </w:pPr>
      <w:r>
        <w:t>Macquarie Data Centres – IC3 Super West — https://www.macquariedatacentres.com/data-centres/sydney/macquarie-park-campus/ic3-super-west/</w:t>
      </w:r>
    </w:p>
    <w:p>
      <w:pPr>
        <w:pStyle w:val="ListBullet"/>
      </w:pPr>
      <w:r>
        <w:t>Microsoft Learn – ExpressRoute connectivity models — https://learn.microsoft.com/en-us/azure/expressroute/expressroute-connectivity-models</w:t>
      </w:r>
    </w:p>
    <w:p>
      <w:pPr>
        <w:pStyle w:val="ListBullet"/>
      </w:pPr>
      <w:r>
        <w:t>Microsoft Learn – Azure ExpressRoute overview — https://learn.microsoft.com/en-us/azure/expressroute/expressroute-introduction</w:t>
      </w:r>
    </w:p>
    <w:p>
      <w:pPr>
        <w:pStyle w:val="ListBullet"/>
      </w:pPr>
      <w:r>
        <w:t>Microsoft Learn – Azure Private Endpoint connectivity — https://learn.microsoft.com/en-us/troubleshoot/azure/private-link/troubleshoot-private-endpoint-connectivity-problems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Working assessment • Partner evaluation • Not a commitment or procurement decision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Bhadale IT | QAI LabaaS Infrastructure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