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ANNEXURE — POST-PILOT QAI HPC EXPERIMENTATION</w:t>
      </w:r>
    </w:p>
    <w:p>
      <w:pPr>
        <w:jc w:val="center"/>
      </w:pPr>
      <w:r>
        <w:rPr>
          <w:b/>
          <w:sz w:val="24"/>
        </w:rPr>
        <w:t>FPGA-Assisted Emulation, Cycle-Time Control, VirtualQubit Allocation and Hardware-Aware Experiments</w:t>
      </w:r>
    </w:p>
    <w:p>
      <w:pPr>
        <w:jc w:val="center"/>
      </w:pPr>
      <w:r>
        <w:rPr>
          <w:i/>
        </w:rPr>
        <w:t>Bhadale IT / HoldCo • QAI Lab • v1.2.0 Post-Pilot Foundation</w:t>
      </w:r>
    </w:p>
    <w:p>
      <w:pPr>
        <w:pStyle w:val="Heading1"/>
      </w:pPr>
      <w:r>
        <w:t>1. Purpose of this Annexure</w:t>
      </w:r>
    </w:p>
    <w:p>
      <w:r>
        <w:t>This annexure records the latest evolution of the post-pilot QAI Lab architecture. It extends the QAI HPC integration specification with FPGA-assisted emulation, cycle-time-oriented execution, VirtualQubit allocation roles, dynamic physical-to-logical mapping and hardware-characterisation-aware experimentation.</w:t>
      </w:r>
    </w:p>
    <w:p>
      <w:r>
        <w:t>The architecture is intentionally evolutionary. These are reference and toy-model concepts for controlled client experimentation and engineering validation. Actual implementation should identify bottlenecks and refine the architecture based on measured behaviour.</w:t>
      </w:r>
    </w:p>
    <w:p>
      <w:pPr>
        <w:pStyle w:val="Heading1"/>
      </w:pPr>
      <w:r>
        <w:t>2. Post-Pilot QAI Lab as a Client Experimentation Model</w:t>
      </w:r>
    </w:p>
    <w:p>
      <w:r>
        <w:t>The post-pilot QAI Lab can provide a controlled environment in which clients experiment with hybrid classical/HPC/quantum workflows before requiring access to large-scale quantum hardware.</w:t>
      </w:r>
    </w:p>
    <w:p>
      <w:pPr>
        <w:pStyle w:val="ListBullet"/>
      </w:pPr>
      <w:r>
        <w:t>Software emulation and simulation can establish the initial behavioural model.</w:t>
      </w:r>
    </w:p>
    <w:p>
      <w:pPr>
        <w:pStyle w:val="ListBullet"/>
      </w:pPr>
      <w:r>
        <w:t>HPC and GPU resources can perform classical preparation, optimisation and post-processing.</w:t>
      </w:r>
    </w:p>
    <w:p>
      <w:pPr>
        <w:pStyle w:val="ListBullet"/>
      </w:pPr>
      <w:r>
        <w:t>FPGA resources can provide fast, deterministic control and selected emulation functions where available.</w:t>
      </w:r>
    </w:p>
    <w:p>
      <w:pPr>
        <w:pStyle w:val="ListBullet"/>
      </w:pPr>
      <w:r>
        <w:t>High-speed electronic devices can be used for selected timing, streaming and control experiments where available.</w:t>
      </w:r>
    </w:p>
    <w:p>
      <w:pPr>
        <w:pStyle w:val="ListBullet"/>
      </w:pPr>
      <w:r>
        <w:t>Precise timing references may support synchronisation experiments where appropriate infrastructure is available.</w:t>
      </w:r>
    </w:p>
    <w:p>
      <w:pPr>
        <w:pStyle w:val="ListBullet"/>
      </w:pPr>
      <w:r>
        <w:t>Physical QPU access can be introduced progressively when a suitable provider or device is available.</w:t>
      </w:r>
    </w:p>
    <w:p>
      <w:r>
        <w:t>Availability of FPGA, high-speed electronic devices, precise timing infrastructure and physical QPU access is an external dependency and must be assessed for each client experiment.</w:t>
      </w:r>
    </w:p>
    <w:p>
      <w:pPr>
        <w:pStyle w:val="Heading1"/>
      </w:pPr>
      <w:r>
        <w:t>3. Staged Hybrid QAI Pipeline</w:t>
      </w:r>
    </w:p>
    <w:p>
      <w:r>
        <w:t>The QAI Pipeline can adopt staged execution techniques similar in principle to high-performance computing systems. The number of stages remains workload-dependent.</w:t>
      </w:r>
    </w:p>
    <w:p>
      <w:pPr>
        <w:pStyle w:val="ListBullet"/>
      </w:pPr>
      <w:r>
        <w:t>Prefetch — stage data, metadata and reusable resources.</w:t>
      </w:r>
    </w:p>
    <w:p>
      <w:pPr>
        <w:pStyle w:val="ListBullet"/>
      </w:pPr>
      <w:r>
        <w:t>Load — bring required data/resources into the appropriate execution environment.</w:t>
      </w:r>
    </w:p>
    <w:p>
      <w:pPr>
        <w:pStyle w:val="ListBullet"/>
      </w:pPr>
      <w:r>
        <w:t>Precompute — perform deterministic classical transformations, mapping preparation, ansatz/parameter preparation, static binding and other reusable work.</w:t>
      </w:r>
    </w:p>
    <w:p>
      <w:pPr>
        <w:pStyle w:val="ListBullet"/>
      </w:pPr>
      <w:r>
        <w:t>Quantum critical execution — keep only operations that genuinely require quantum processing in the critical window.</w:t>
      </w:r>
    </w:p>
    <w:p>
      <w:pPr>
        <w:pStyle w:val="ListBullet"/>
      </w:pPr>
      <w:r>
        <w:t>Post-process — perform decoding, measurement analysis, result fusion, classical optimisation and evidence processing.</w:t>
      </w:r>
    </w:p>
    <w:p>
      <w:pPr>
        <w:pStyle w:val="Heading1"/>
      </w:pPr>
      <w:r>
        <w:t>4. Cycle-Time as a First-Class Constraint</w:t>
      </w:r>
    </w:p>
    <w:p>
      <w:r>
        <w:t>The QAI Pipeline should be designed around useful work completed within a bounded execution cycle rather than around maximum resource utilisation alone.</w:t>
      </w:r>
    </w:p>
    <w:p>
      <w:pPr>
        <w:pStyle w:val="ListBullet"/>
      </w:pPr>
      <w:r>
        <w:t>Measure planned versus actual phase duration.</w:t>
      </w:r>
    </w:p>
    <w:p>
      <w:pPr>
        <w:pStyle w:val="ListBullet"/>
      </w:pPr>
      <w:r>
        <w:t>Reduce QPU idle time.</w:t>
      </w:r>
    </w:p>
    <w:p>
      <w:pPr>
        <w:pStyle w:val="ListBullet"/>
      </w:pPr>
      <w:r>
        <w:t>Reduce unnecessary synchronisation.</w:t>
      </w:r>
    </w:p>
    <w:p>
      <w:pPr>
        <w:pStyle w:val="ListBullet"/>
      </w:pPr>
      <w:r>
        <w:t>Prefetch and precompute deterministic work.</w:t>
      </w:r>
    </w:p>
    <w:p>
      <w:pPr>
        <w:pStyle w:val="ListBullet"/>
      </w:pPr>
      <w:r>
        <w:t>Avoid repeated file I/O and avoidable data movement.</w:t>
      </w:r>
    </w:p>
    <w:p>
      <w:pPr>
        <w:pStyle w:val="ListBullet"/>
      </w:pPr>
      <w:r>
        <w:t>Avoid unnecessary classical-to-quantum and quantum-to-classical transformations.</w:t>
      </w:r>
    </w:p>
    <w:p>
      <w:pPr>
        <w:pStyle w:val="ListBullet"/>
      </w:pPr>
      <w:r>
        <w:t>Use time bins and phase control for predictable execution where appropriate.</w:t>
      </w:r>
    </w:p>
    <w:p>
      <w:pPr>
        <w:pStyle w:val="ListBullet"/>
      </w:pPr>
      <w:r>
        <w:t>Measure end-to-end latency rather than only QPU execution time.</w:t>
      </w:r>
    </w:p>
    <w:p>
      <w:pPr>
        <w:pStyle w:val="Heading1"/>
      </w:pPr>
      <w:r>
        <w:t>5. Precise Timing and Synchronisation — Future Capability</w:t>
      </w:r>
    </w:p>
    <w:p>
      <w:r>
        <w:t>The architecture may support a precise common timing reference for synchronising QAI Pipeline phases, HPC/GPU processing, FPGA control and quantum-runtime operations where suitable infrastructure is available.</w:t>
      </w:r>
    </w:p>
    <w:p>
      <w:r>
        <w:t>The architecture should therefore expose timing metadata and synchronisation contracts without depending on a particular clock facility. Any specific national, laboratory or data-centre timing capability must be independently verified before becoming an implementation dependency.</w:t>
      </w:r>
    </w:p>
    <w:p>
      <w:pPr>
        <w:pStyle w:val="Heading1"/>
      </w:pPr>
      <w:r>
        <w:t>6. FPGA-Assisted QAI Runtime and Emulation</w:t>
      </w:r>
    </w:p>
    <w:p>
      <w:r>
        <w:t>FPGA resources can provide an intermediate experimental layer between software-only models and physical QPU control. The intended role is fast, deterministic state/control transitions and selected emulation functions, not automatic replacement of a quantum-state simulator.</w:t>
      </w:r>
    </w:p>
    <w:p>
      <w:pPr>
        <w:pStyle w:val="ListBullet"/>
      </w:pPr>
      <w:r>
        <w:t>Deterministic state-machine transitions.</w:t>
      </w:r>
    </w:p>
    <w:p>
      <w:pPr>
        <w:pStyle w:val="ListBullet"/>
      </w:pPr>
      <w:r>
        <w:t>Fast switching and control signals.</w:t>
      </w:r>
    </w:p>
    <w:p>
      <w:pPr>
        <w:pStyle w:val="ListBullet"/>
      </w:pPr>
      <w:r>
        <w:t>Time-bin control.</w:t>
      </w:r>
    </w:p>
    <w:p>
      <w:pPr>
        <w:pStyle w:val="ListBullet"/>
      </w:pPr>
      <w:r>
        <w:t>Resource allocation and mapping experiments.</w:t>
      </w:r>
    </w:p>
    <w:p>
      <w:pPr>
        <w:pStyle w:val="ListBullet"/>
      </w:pPr>
      <w:r>
        <w:t>Measurement-event processing.</w:t>
      </w:r>
    </w:p>
    <w:p>
      <w:pPr>
        <w:pStyle w:val="ListBullet"/>
      </w:pPr>
      <w:r>
        <w:t>Syndrome-processing experiments.</w:t>
      </w:r>
    </w:p>
    <w:p>
      <w:pPr>
        <w:pStyle w:val="ListBullet"/>
      </w:pPr>
      <w:r>
        <w:t>Low-latency feedback.</w:t>
      </w:r>
    </w:p>
    <w:p>
      <w:pPr>
        <w:pStyle w:val="ListBullet"/>
      </w:pPr>
      <w:r>
        <w:t>Streaming transformations.</w:t>
      </w:r>
    </w:p>
    <w:p>
      <w:pPr>
        <w:pStyle w:val="ListBullet"/>
      </w:pPr>
      <w:r>
        <w:t>Simplified quantum-runtime state representations.</w:t>
      </w:r>
    </w:p>
    <w:p>
      <w:r>
        <w:t>An FPGA-assisted emulator is not itself assumed to perform general quantum-state simulation. Quantum-state evolution, noise and circuit-level behaviour may require separate simulation or emulation techniques.</w:t>
      </w:r>
    </w:p>
    <w:p>
      <w:pPr>
        <w:pStyle w:val="Heading1"/>
      </w:pPr>
      <w:r>
        <w:t>7. Experimental Execution Stack</w:t>
      </w:r>
    </w:p>
    <w:p>
      <w:pPr>
        <w:pStyle w:val="ListBullet"/>
      </w:pPr>
      <w:r>
        <w:t>QAI Pipeline — workload definition and phase structure.</w:t>
      </w:r>
    </w:p>
    <w:p>
      <w:pPr>
        <w:pStyle w:val="ListBullet"/>
      </w:pPr>
      <w:r>
        <w:t>QAI Gateway — classical coordination and resource-management boundary.</w:t>
      </w:r>
    </w:p>
    <w:p>
      <w:pPr>
        <w:pStyle w:val="ListBullet"/>
      </w:pPr>
      <w:r>
        <w:t>HPC/GPU — classical preparation, optimisation and post-processing.</w:t>
      </w:r>
    </w:p>
    <w:p>
      <w:pPr>
        <w:pStyle w:val="ListBullet"/>
      </w:pPr>
      <w:r>
        <w:t>FPGA — optional fast deterministic control/emulation layer.</w:t>
      </w:r>
    </w:p>
    <w:p>
      <w:pPr>
        <w:pStyle w:val="ListBullet"/>
      </w:pPr>
      <w:r>
        <w:t>Quantum Runtime — scheduling, balancing, phase control, time bins, allocation and mapping.</w:t>
      </w:r>
    </w:p>
    <w:p>
      <w:pPr>
        <w:pStyle w:val="ListBullet"/>
      </w:pPr>
      <w:r>
        <w:t>QPU — physical quantum execution where available.</w:t>
      </w:r>
    </w:p>
    <w:p>
      <w:pPr>
        <w:pStyle w:val="Heading1"/>
      </w:pPr>
      <w:r>
        <w:t>8. VirtualQubit Allocation Roles</w:t>
      </w:r>
    </w:p>
    <w:p>
      <w:r>
        <w:t>Rather than representing every allocation simply as an undifferentiated number of qubits, the QAI runtime may introduce VirtualQubit allocation roles. The role describes the intended function; the physical mapping remains dynamic.</w:t>
      </w:r>
    </w:p>
    <w:tbl>
      <w:tblPr>
        <w:tblStyle w:val="TableGrid"/>
        <w:tblW w:type="auto" w:w="0"/>
        <w:tblLook w:firstColumn="1" w:firstRow="1" w:lastColumn="0" w:lastRow="0" w:noHBand="0" w:noVBand="1" w:val="04A0"/>
      </w:tblPr>
      <w:tblGrid>
        <w:gridCol w:w="4968"/>
        <w:gridCol w:w="4968"/>
      </w:tblGrid>
      <w:tr>
        <w:tc>
          <w:tcPr>
            <w:tcW w:type="dxa" w:w="4968"/>
          </w:tcPr>
          <w:p>
            <w:r>
              <w:t>VirtualQubit role</w:t>
            </w:r>
          </w:p>
        </w:tc>
        <w:tc>
          <w:tcPr>
            <w:tcW w:type="dxa" w:w="4968"/>
          </w:tcPr>
          <w:p>
            <w:r>
              <w:t>Indicative purpose</w:t>
            </w:r>
          </w:p>
        </w:tc>
      </w:tr>
      <w:tr>
        <w:tc>
          <w:tcPr>
            <w:tcW w:type="dxa" w:w="4968"/>
          </w:tcPr>
          <w:p>
            <w:r>
              <w:t>Computational VQ</w:t>
            </w:r>
          </w:p>
        </w:tc>
        <w:tc>
          <w:tcPr>
            <w:tcW w:type="dxa" w:w="4968"/>
          </w:tcPr>
          <w:p>
            <w:r>
              <w:t>Algorithm/workload computation</w:t>
            </w:r>
          </w:p>
        </w:tc>
      </w:tr>
      <w:tr>
        <w:tc>
          <w:tcPr>
            <w:tcW w:type="dxa" w:w="4968"/>
          </w:tcPr>
          <w:p>
            <w:r>
              <w:t>Memory VQ</w:t>
            </w:r>
          </w:p>
        </w:tc>
        <w:tc>
          <w:tcPr>
            <w:tcW w:type="dxa" w:w="4968"/>
          </w:tcPr>
          <w:p>
            <w:r>
              <w:t>Quantum-memory or intermediate-state experiments</w:t>
            </w:r>
          </w:p>
        </w:tc>
      </w:tr>
      <w:tr>
        <w:tc>
          <w:tcPr>
            <w:tcW w:type="dxa" w:w="4968"/>
          </w:tcPr>
          <w:p>
            <w:r>
              <w:t>Ancilla VQ</w:t>
            </w:r>
          </w:p>
        </w:tc>
        <w:tc>
          <w:tcPr>
            <w:tcW w:type="dxa" w:w="4968"/>
          </w:tcPr>
          <w:p>
            <w:r>
              <w:t>Auxiliary computational/QEC functions</w:t>
            </w:r>
          </w:p>
        </w:tc>
      </w:tr>
      <w:tr>
        <w:tc>
          <w:tcPr>
            <w:tcW w:type="dxa" w:w="4968"/>
          </w:tcPr>
          <w:p>
            <w:r>
              <w:t>Syndrome VQ</w:t>
            </w:r>
          </w:p>
        </w:tc>
        <w:tc>
          <w:tcPr>
            <w:tcW w:type="dxa" w:w="4968"/>
          </w:tcPr>
          <w:p>
            <w:r>
              <w:t>Syndrome extraction and QEC experiments</w:t>
            </w:r>
          </w:p>
        </w:tc>
      </w:tr>
      <w:tr>
        <w:tc>
          <w:tcPr>
            <w:tcW w:type="dxa" w:w="4968"/>
          </w:tcPr>
          <w:p>
            <w:r>
              <w:t>Communication VQ</w:t>
            </w:r>
          </w:p>
        </w:tc>
        <w:tc>
          <w:tcPr>
            <w:tcW w:type="dxa" w:w="4968"/>
          </w:tcPr>
          <w:p>
            <w:r>
              <w:t>Communication or quantum-transfer experiments where supported</w:t>
            </w:r>
          </w:p>
        </w:tc>
      </w:tr>
      <w:tr>
        <w:tc>
          <w:tcPr>
            <w:tcW w:type="dxa" w:w="4968"/>
          </w:tcPr>
          <w:p>
            <w:r>
              <w:t>Control/Support VQ</w:t>
            </w:r>
          </w:p>
        </w:tc>
        <w:tc>
          <w:tcPr>
            <w:tcW w:type="dxa" w:w="4968"/>
          </w:tcPr>
          <w:p>
            <w:r>
              <w:t>Other workload-specific supporting roles</w:t>
            </w:r>
          </w:p>
        </w:tc>
      </w:tr>
    </w:tbl>
    <w:p>
      <w:r>
        <w:t>These roles are proposed abstractions for experimentation. They do not imply that current physical QPUs provide dedicated hardware for every role.</w:t>
      </w:r>
    </w:p>
    <w:p>
      <w:pPr>
        <w:pStyle w:val="Heading1"/>
      </w:pPr>
      <w:r>
        <w:t>9. Memory-Qubit Experiments</w:t>
      </w:r>
    </w:p>
    <w:p>
      <w:r>
        <w:t>Memory-oriented quantum operations should be investigated separately from the QAI metadata/state registry. A VirtualQubit registry records identity, context, mapping and execution metadata; it does not itself constitute quantum memory.</w:t>
      </w:r>
    </w:p>
    <w:p>
      <w:pPr>
        <w:pStyle w:val="ListBullet"/>
      </w:pPr>
      <w:r>
        <w:t>Transient computational state.</w:t>
      </w:r>
    </w:p>
    <w:p>
      <w:pPr>
        <w:pStyle w:val="ListBullet"/>
      </w:pPr>
      <w:r>
        <w:t>Persistent or intermediate quantum state.</w:t>
      </w:r>
    </w:p>
    <w:p>
      <w:pPr>
        <w:pStyle w:val="ListBullet"/>
      </w:pPr>
      <w:r>
        <w:t>Classical memory.</w:t>
      </w:r>
    </w:p>
    <w:p>
      <w:pPr>
        <w:pStyle w:val="ListBullet"/>
      </w:pPr>
      <w:r>
        <w:t>Quantum-memory abstraction.</w:t>
      </w:r>
    </w:p>
    <w:p>
      <w:pPr>
        <w:pStyle w:val="ListBullet"/>
      </w:pPr>
      <w:r>
        <w:t>Actual hardware quantum memory.</w:t>
      </w:r>
    </w:p>
    <w:p>
      <w:r>
        <w:t>A software emulator can initially explore memory allocation, state lifetime, remapping, resource availability and scheduling behaviour before suitable quantum-memory hardware is available.</w:t>
      </w:r>
    </w:p>
    <w:p>
      <w:pPr>
        <w:pStyle w:val="Heading1"/>
      </w:pPr>
      <w:r>
        <w:t>10. Dynamic Physical-to-Logical Mapping</w:t>
      </w:r>
    </w:p>
    <w:p>
      <w:r>
        <w:t>The mapper should use actual physical-qubit characterisation rather than treating physical qubits as interchangeable.</w:t>
      </w:r>
    </w:p>
    <w:p>
      <w:pPr>
        <w:pStyle w:val="ListBullet"/>
      </w:pPr>
      <w:r>
        <w:t>Gate-error characteristics.</w:t>
      </w:r>
    </w:p>
    <w:p>
      <w:pPr>
        <w:pStyle w:val="ListBullet"/>
      </w:pPr>
      <w:r>
        <w:t>Measurement quality.</w:t>
      </w:r>
    </w:p>
    <w:p>
      <w:pPr>
        <w:pStyle w:val="ListBullet"/>
      </w:pPr>
      <w:r>
        <w:t>Coherence characteristics.</w:t>
      </w:r>
    </w:p>
    <w:p>
      <w:pPr>
        <w:pStyle w:val="ListBullet"/>
      </w:pPr>
      <w:r>
        <w:t>Calibration information and age.</w:t>
      </w:r>
    </w:p>
    <w:p>
      <w:pPr>
        <w:pStyle w:val="ListBullet"/>
      </w:pPr>
      <w:r>
        <w:t>Noise/error profile.</w:t>
      </w:r>
    </w:p>
    <w:p>
      <w:pPr>
        <w:pStyle w:val="ListBullet"/>
      </w:pPr>
      <w:r>
        <w:t>Connectivity/topology.</w:t>
      </w:r>
    </w:p>
    <w:p>
      <w:pPr>
        <w:pStyle w:val="ListBullet"/>
      </w:pPr>
      <w:r>
        <w:t>Hardware-specific protection or encoding capabilities.</w:t>
      </w:r>
    </w:p>
    <w:p>
      <w:pPr>
        <w:pStyle w:val="ListBullet"/>
      </w:pPr>
      <w:r>
        <w:t>Execution history and mapping confidence.</w:t>
      </w:r>
    </w:p>
    <w:p>
      <w:r>
        <w:t>The objective is to identify the most suitable characterised physical resources for the logical workload under its quality, latency and resource constraints.</w:t>
      </w:r>
    </w:p>
    <w:p>
      <w:pPr>
        <w:pStyle w:val="Heading1"/>
      </w:pPr>
      <w:r>
        <w:t>11. QEC and Hardware-Specific Protection</w:t>
      </w:r>
    </w:p>
    <w:p>
      <w:r>
        <w:t>Different hardware architectures may reduce some physical-resource overhead through their native encoding or protection mechanisms. A hardware architecture offering a favourable physical-to-logical relationship should therefore be treated as a capability to characterise and benchmark, not as a universal assumption.</w:t>
      </w:r>
    </w:p>
    <w:p>
      <w:r>
        <w:t>The QAI Lab can investigate whether hardware-aware mapping, mitigation, encoding and QEC strategies reduce the resources required for useful logical computation.</w:t>
      </w:r>
    </w:p>
    <w:p>
      <w:pPr>
        <w:pStyle w:val="Heading1"/>
      </w:pPr>
      <w:r>
        <w:t>12. Practical Scaling Envelope</w:t>
      </w:r>
    </w:p>
    <w:p>
      <w:r>
        <w:t>The post-pilot architecture does not need to target million-qubit capacity. An initial experimental planning envelope of approximately 500–1,000 physical qubits provides a more manageable scale for resource-management, mapping and runtime experiments, subject to actual hardware availability.</w:t>
      </w:r>
    </w:p>
    <w:p>
      <w:r>
        <w:t>This is a planning envelope, not a claim of current Bhadale IT hardware capability.</w:t>
      </w:r>
    </w:p>
    <w:p>
      <w:pPr>
        <w:pStyle w:val="Heading1"/>
      </w:pPr>
      <w:r>
        <w:t>13. Effective Quantum Capacity</w:t>
      </w:r>
    </w:p>
    <w:p>
      <w:r>
        <w:t>The principal research question becomes: how much reliable logical computation can be obtained from a given physical-qubit budget?</w:t>
      </w:r>
    </w:p>
    <w:p>
      <w:pPr>
        <w:pStyle w:val="ListBullet"/>
      </w:pPr>
      <w:r>
        <w:t>Physical qubits consumed.</w:t>
      </w:r>
    </w:p>
    <w:p>
      <w:pPr>
        <w:pStyle w:val="ListBullet"/>
      </w:pPr>
      <w:r>
        <w:t>Logical qubits supported.</w:t>
      </w:r>
    </w:p>
    <w:p>
      <w:pPr>
        <w:pStyle w:val="ListBullet"/>
      </w:pPr>
      <w:r>
        <w:t>QEC/protection overhead.</w:t>
      </w:r>
    </w:p>
    <w:p>
      <w:pPr>
        <w:pStyle w:val="ListBullet"/>
      </w:pPr>
      <w:r>
        <w:t>Mapping stability.</w:t>
      </w:r>
    </w:p>
    <w:p>
      <w:pPr>
        <w:pStyle w:val="ListBullet"/>
      </w:pPr>
      <w:r>
        <w:t>Logical and physical error rates.</w:t>
      </w:r>
    </w:p>
    <w:p>
      <w:pPr>
        <w:pStyle w:val="ListBullet"/>
      </w:pPr>
      <w:r>
        <w:t>Effective fidelity.</w:t>
      </w:r>
    </w:p>
    <w:p>
      <w:pPr>
        <w:pStyle w:val="ListBullet"/>
      </w:pPr>
      <w:r>
        <w:t>QPU occupancy.</w:t>
      </w:r>
    </w:p>
    <w:p>
      <w:pPr>
        <w:pStyle w:val="ListBullet"/>
      </w:pPr>
      <w:r>
        <w:t>QPU-critical execution time.</w:t>
      </w:r>
    </w:p>
    <w:p>
      <w:pPr>
        <w:pStyle w:val="ListBullet"/>
      </w:pPr>
      <w:r>
        <w:t>Shots and recovery/retry requirements.</w:t>
      </w:r>
    </w:p>
    <w:p>
      <w:pPr>
        <w:pStyle w:val="ListBullet"/>
      </w:pPr>
      <w:r>
        <w:t>Useful result quality.</w:t>
      </w:r>
    </w:p>
    <w:p>
      <w:pPr>
        <w:pStyle w:val="ListBullet"/>
      </w:pPr>
      <w:r>
        <w:t>Cost per useful result.</w:t>
      </w:r>
    </w:p>
    <w:p>
      <w:pPr>
        <w:pStyle w:val="Heading1"/>
      </w:pPr>
      <w:r>
        <w:t>14. Suggested Toy-Model Experiment Progression</w:t>
      </w:r>
    </w:p>
    <w:p>
      <w:pPr>
        <w:pStyle w:val="ListNumber"/>
      </w:pPr>
      <w:r>
        <w:t>Software reference model.</w:t>
      </w:r>
    </w:p>
    <w:p>
      <w:pPr>
        <w:pStyle w:val="ListNumber"/>
      </w:pPr>
      <w:r>
        <w:t>Software emulation of VirtualQubit allocation and state transitions.</w:t>
      </w:r>
    </w:p>
    <w:p>
      <w:pPr>
        <w:pStyle w:val="ListNumber"/>
      </w:pPr>
      <w:r>
        <w:t>Quantum simulation for circuit/state/noise behaviour.</w:t>
      </w:r>
    </w:p>
    <w:p>
      <w:pPr>
        <w:pStyle w:val="ListNumber"/>
      </w:pPr>
      <w:r>
        <w:t>FPGA-assisted control and timing experiment where hardware is available.</w:t>
      </w:r>
    </w:p>
    <w:p>
      <w:pPr>
        <w:pStyle w:val="ListNumber"/>
      </w:pPr>
      <w:r>
        <w:t>Characterisation-aware physical mapping experiment.</w:t>
      </w:r>
    </w:p>
    <w:p>
      <w:pPr>
        <w:pStyle w:val="ListNumber"/>
      </w:pPr>
      <w:r>
        <w:t>Physical QPU experiment where a suitable device is available.</w:t>
      </w:r>
    </w:p>
    <w:p>
      <w:pPr>
        <w:pStyle w:val="ListNumber"/>
      </w:pPr>
      <w:r>
        <w:t>Compare predicted and observed evidence at every stage.</w:t>
      </w:r>
    </w:p>
    <w:p>
      <w:pPr>
        <w:pStyle w:val="Heading1"/>
      </w:pPr>
      <w:r>
        <w:t>15. FPGA Boundary</w:t>
      </w:r>
    </w:p>
    <w:p>
      <w:r>
        <w:t>FPGA acceleration should be treated as an implementation option below the QAI Runtime rather than as a separate competing architecture. It can provide deterministic low-latency control, streaming and selected emulation functions while software models remain the initial reference.</w:t>
      </w:r>
    </w:p>
    <w:p>
      <w:pPr>
        <w:pStyle w:val="Heading1"/>
      </w:pPr>
      <w:r>
        <w:t>16. Architecture Evolution Principle</w:t>
      </w:r>
    </w:p>
    <w:p>
      <w:r>
        <w:t>The post-pilot QAI Lab should not attempt to reproduce the largest quantum systems. Its role is to provide small, controlled and measurable reference implementations that expose bottlenecks, timing behaviour, mapping effects, resource overheads and assurance requirements before larger systems are attempted.</w:t>
      </w:r>
    </w:p>
    <w:p>
      <w:r>
        <w:t>The architecture should therefore evolve from evidence. If implementation reveals a bottleneck, the corresponding abstraction, scheduler policy, mapping strategy or hardware interface can be changed and retested.</w:t>
      </w:r>
    </w:p>
    <w:p>
      <w:pPr>
        <w:pStyle w:val="Heading1"/>
      </w:pPr>
      <w:r>
        <w:t>17. Evidence and Reliability Guardrails</w:t>
      </w:r>
    </w:p>
    <w:p>
      <w:pPr>
        <w:pStyle w:val="ListBullet"/>
      </w:pPr>
      <w:r>
        <w:t>Separate conceptual, simulated, emulated, experimentally validated and operational capabilities.</w:t>
      </w:r>
    </w:p>
    <w:p>
      <w:pPr>
        <w:pStyle w:val="ListBullet"/>
      </w:pPr>
      <w:r>
        <w:t>Record actual resources used rather than assumed resources.</w:t>
      </w:r>
    </w:p>
    <w:p>
      <w:pPr>
        <w:pStyle w:val="ListBullet"/>
      </w:pPr>
      <w:r>
        <w:t>Keep classical baselines for comparison.</w:t>
      </w:r>
    </w:p>
    <w:p>
      <w:pPr>
        <w:pStyle w:val="ListBullet"/>
      </w:pPr>
      <w:r>
        <w:t>Record timing and latency measurements.</w:t>
      </w:r>
    </w:p>
    <w:p>
      <w:pPr>
        <w:pStyle w:val="ListBullet"/>
      </w:pPr>
      <w:r>
        <w:t>Record hardware characterisation data when physical devices are used.</w:t>
      </w:r>
    </w:p>
    <w:p>
      <w:pPr>
        <w:pStyle w:val="ListBullet"/>
      </w:pPr>
      <w:r>
        <w:t>Do not infer universal QEC reduction from one hardware architecture.</w:t>
      </w:r>
    </w:p>
    <w:p>
      <w:pPr>
        <w:pStyle w:val="ListBullet"/>
      </w:pPr>
      <w:r>
        <w:t>Do not infer quantum advantage solely from a larger qubit count.</w:t>
      </w:r>
    </w:p>
    <w:p>
      <w:pPr>
        <w:pStyle w:val="ListBullet"/>
      </w:pPr>
      <w:r>
        <w:t>Do not claim physical quantum-network or flying-qubit capabilities without suitable hardware and evidence.</w:t>
      </w:r>
    </w:p>
    <w:p>
      <w:pPr>
        <w:pStyle w:val="Heading1"/>
      </w:pPr>
      <w:r>
        <w:t>18. Relationship to v1.2.0 Foundation</w:t>
      </w:r>
    </w:p>
    <w:p>
      <w:r>
        <w:t>This annexure extends the post-pilot QAI Lab foundation established under v1.2.0-post-pilot-qai-lab-foundation. It should be treated as an evolving design annexure for subsequent VS Code implementation and experiments.</w:t>
      </w:r>
    </w:p>
    <w:p>
      <w:pPr>
        <w:pStyle w:val="Heading1"/>
      </w:pPr>
      <w:r>
        <w:t>19. Proposed VS Code Development Areas</w:t>
      </w:r>
    </w:p>
    <w:p>
      <w:pPr>
        <w:pStyle w:val="ListBullet"/>
      </w:pPr>
      <w:r>
        <w:t>qai_lab/quantum_runtime/qubit_allocation/</w:t>
      </w:r>
    </w:p>
    <w:p>
      <w:pPr>
        <w:pStyle w:val="ListBullet"/>
      </w:pPr>
      <w:r>
        <w:t>qai_lab/quantum_runtime/mapping/</w:t>
      </w:r>
    </w:p>
    <w:p>
      <w:pPr>
        <w:pStyle w:val="ListBullet"/>
      </w:pPr>
      <w:r>
        <w:t>qai_lab/quantum_runtime/phase_control/</w:t>
      </w:r>
    </w:p>
    <w:p>
      <w:pPr>
        <w:pStyle w:val="ListBullet"/>
      </w:pPr>
      <w:r>
        <w:t>qai_lab/quantum_runtime/time_bins/</w:t>
      </w:r>
    </w:p>
    <w:p>
      <w:pPr>
        <w:pStyle w:val="ListBullet"/>
      </w:pPr>
      <w:r>
        <w:t>qai_lab/quantum_runtime/evidence/</w:t>
      </w:r>
    </w:p>
    <w:p>
      <w:pPr>
        <w:pStyle w:val="ListBullet"/>
      </w:pPr>
      <w:r>
        <w:t>qai_lab/hpc/</w:t>
      </w:r>
    </w:p>
    <w:p>
      <w:pPr>
        <w:pStyle w:val="ListBullet"/>
      </w:pPr>
      <w:r>
        <w:t>qai_lab/gateway/</w:t>
      </w:r>
    </w:p>
    <w:p>
      <w:pPr>
        <w:pStyle w:val="ListBullet"/>
      </w:pPr>
      <w:r>
        <w:t>qai_lab/interfaces/</w:t>
      </w:r>
    </w:p>
    <w:p>
      <w:pPr>
        <w:pStyle w:val="ListBullet"/>
      </w:pPr>
      <w:r>
        <w:t>qai_lab/experiments/</w:t>
      </w:r>
    </w:p>
    <w:p>
      <w:pPr>
        <w:pStyle w:val="ListBullet"/>
      </w:pPr>
      <w:r>
        <w:t>qai_lab/tracks/quantum_computing/working_groups/logical_qubits_qec/</w:t>
      </w:r>
    </w:p>
    <w:p>
      <w:pPr>
        <w:pStyle w:val="Heading1"/>
      </w:pPr>
      <w:r>
        <w:t>20. Status</w:t>
      </w:r>
    </w:p>
    <w:p>
      <w:r>
        <w:t>Working annexure • Post-pilot architecture • Experimental/toy-model scope • Evidence-led • Subject to implementation validation and hardware availability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