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QAI HPC INTEGRATION — EVOLVING EXECUTION ARCHITECTURE</w:t>
      </w:r>
    </w:p>
    <w:p>
      <w:pPr>
        <w:jc w:val="center"/>
      </w:pPr>
      <w:r>
        <w:rPr>
          <w:b/>
          <w:sz w:val="24"/>
        </w:rPr>
        <w:t>Cycle-Time Optimization, Quantum Critical Path and Dynamic Qubit Mapping</w:t>
      </w:r>
    </w:p>
    <w:p>
      <w:pPr>
        <w:jc w:val="center"/>
      </w:pPr>
      <w:r>
        <w:rPr>
          <w:i/>
        </w:rPr>
        <w:t>VS Code Development Specification • Bhadale IT / HoldCo • Post-Pilot QAI Lab</w:t>
      </w:r>
    </w:p>
    <w:p>
      <w:pPr>
        <w:pStyle w:val="Heading1"/>
      </w:pPr>
      <w:r>
        <w:t>1. Purpose</w:t>
      </w:r>
    </w:p>
    <w:p>
      <w:r>
        <w:t>This document captures an evolving architecture for QAI HPC integration. It is a development and experimentation specification for the QAI Lab, not a claim of completed production implementation. The architecture should be validated and refined during actual implementation by identifying bottlenecks, timing constraints, resource contention, mapping behaviour, error-management overhead and end-to-end workload performance.</w:t>
      </w:r>
    </w:p>
    <w:p>
      <w:pPr>
        <w:pStyle w:val="Heading1"/>
      </w:pPr>
      <w:r>
        <w:t>2. Core Architectural Principle</w:t>
      </w:r>
    </w:p>
    <w:p>
      <w:r>
        <w:t>Prepare as much deterministic classical work as possible before the quantum execution window, keep the quantum-critical path minimal, and move classical post-processing outside the core quantum operation path wherever the workload permits. The objective is to maximise useful, reliable computation within a bounded end-to-end execution cycle.</w:t>
      </w:r>
    </w:p>
    <w:p>
      <w:pPr>
        <w:pStyle w:val="Heading1"/>
      </w:pPr>
      <w:r>
        <w:t>3. Staged QAI Pipeline</w:t>
      </w:r>
    </w:p>
    <w:p>
      <w:r>
        <w:t>The QAI Pipeline can reuse staged execution techniques familiar from high-performance and supercomputer systems. The number of phases should remain configurable rather than fixed.</w:t>
      </w:r>
    </w:p>
    <w:p>
      <w:pPr>
        <w:pStyle w:val="ListBullet"/>
      </w:pPr>
      <w:r>
        <w:t>Prefetch — stage data, metadata and reusable resources.</w:t>
      </w:r>
    </w:p>
    <w:p>
      <w:pPr>
        <w:pStyle w:val="ListBullet"/>
      </w:pPr>
      <w:r>
        <w:t>Load — move required data/resources into the appropriate execution environment.</w:t>
      </w:r>
    </w:p>
    <w:p>
      <w:pPr>
        <w:pStyle w:val="ListBullet"/>
      </w:pPr>
      <w:r>
        <w:t>Precompute — perform deterministic classical transformations, mappings, parameter preparation and other work that does not require quantum execution.</w:t>
      </w:r>
    </w:p>
    <w:p>
      <w:pPr>
        <w:pStyle w:val="ListBullet"/>
      </w:pPr>
      <w:r>
        <w:t>Quantum Critical Path — perform only operations that genuinely require quantum execution, such as workload-specific quantum operations, oracle queries, search or entanglement operations where supported.</w:t>
      </w:r>
    </w:p>
    <w:p>
      <w:pPr>
        <w:pStyle w:val="ListBullet"/>
      </w:pPr>
      <w:r>
        <w:t>Post-process — perform measurement analysis, decoding, result reconstruction, classical optimisation and evidence processing outside the core quantum operation window.</w:t>
      </w:r>
    </w:p>
    <w:p>
      <w:pPr>
        <w:pStyle w:val="Heading1"/>
      </w:pPr>
      <w:r>
        <w:t>4. Quantum Critical Path</w:t>
      </w:r>
    </w:p>
    <w:p>
      <w:r>
        <w:t>The quantum critical path should be treated as a bounded execution window. Operations should not be placed inside it merely because the runtime can perform them there.</w:t>
      </w:r>
    </w:p>
    <w:p>
      <w:r>
        <w:t>Candidate work to move outside the quantum critical path includes data transforms, normalisation, feature preparation, logical-to-physical mapping preparation, ansatz and parameter preparation, static binding, file I/O, staging, repeated compilation, and reusable intermediate calculations. Runtime feedback may require some classical work to remain close to quantum execution; such dependencies should be explicitly identified.</w:t>
      </w:r>
    </w:p>
    <w:p>
      <w:pPr>
        <w:pStyle w:val="Heading1"/>
      </w:pPr>
      <w:r>
        <w:t>5. Minimise Synchronisation and Conversion Overhead</w:t>
      </w:r>
    </w:p>
    <w:p>
      <w:pPr>
        <w:pStyle w:val="ListBullet"/>
      </w:pPr>
      <w:r>
        <w:t>Avoid unnecessary classical-to-quantum and quantum-to-classical transformations.</w:t>
      </w:r>
    </w:p>
    <w:p>
      <w:pPr>
        <w:pStyle w:val="ListBullet"/>
      </w:pPr>
      <w:r>
        <w:t>Avoid blocking file I/O in the quantum execution path.</w:t>
      </w:r>
    </w:p>
    <w:p>
      <w:pPr>
        <w:pStyle w:val="ListBullet"/>
      </w:pPr>
      <w:r>
        <w:t>Avoid repeated data transfers where data can be staged or cached.</w:t>
      </w:r>
    </w:p>
    <w:p>
      <w:pPr>
        <w:pStyle w:val="ListBullet"/>
      </w:pPr>
      <w:r>
        <w:t>Avoid unnecessary polling, waiting and long blocking loops.</w:t>
      </w:r>
    </w:p>
    <w:p>
      <w:pPr>
        <w:pStyle w:val="ListBullet"/>
      </w:pPr>
      <w:r>
        <w:t>Avoid repeated compilation, transpilation or mapping when safely reusable.</w:t>
      </w:r>
    </w:p>
    <w:p>
      <w:pPr>
        <w:pStyle w:val="ListBullet"/>
      </w:pPr>
      <w:r>
        <w:t>Avoid unnecessary synchronisation barriers between classical and quantum resources.</w:t>
      </w:r>
    </w:p>
    <w:p>
      <w:pPr>
        <w:pStyle w:val="ListBullet"/>
      </w:pPr>
      <w:r>
        <w:t>Keep asynchronous dependencies bounded and explicit where unavoidable.</w:t>
      </w:r>
    </w:p>
    <w:p>
      <w:pPr>
        <w:pStyle w:val="Heading1"/>
      </w:pPr>
      <w:r>
        <w:t>6. Cycle-Time Optimisation</w:t>
      </w:r>
    </w:p>
    <w:p>
      <w:r>
        <w:t>Time should become a first-class planning constraint. The QAI Pipeline should be able to define a workload cycle budget and allocate phases against that budget.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Typical resources</w:t>
            </w:r>
          </w:p>
        </w:tc>
        <w:tc>
          <w:tcPr>
            <w:tcW w:type="dxa" w:w="3312"/>
          </w:tcPr>
          <w:p>
            <w:r>
              <w:t>Timing objective</w:t>
            </w:r>
          </w:p>
        </w:tc>
      </w:tr>
      <w:tr>
        <w:tc>
          <w:tcPr>
            <w:tcW w:type="dxa" w:w="3312"/>
          </w:tcPr>
          <w:p>
            <w:r>
              <w:t>Prefetch</w:t>
            </w:r>
          </w:p>
        </w:tc>
        <w:tc>
          <w:tcPr>
            <w:tcW w:type="dxa" w:w="3312"/>
          </w:tcPr>
          <w:p>
            <w:r>
              <w:t>Storage / network / CPU</w:t>
            </w:r>
          </w:p>
        </w:tc>
        <w:tc>
          <w:tcPr>
            <w:tcW w:type="dxa" w:w="3312"/>
          </w:tcPr>
          <w:p>
            <w:r>
              <w:t>Complete before dependent execution</w:t>
            </w:r>
          </w:p>
        </w:tc>
      </w:tr>
      <w:tr>
        <w:tc>
          <w:tcPr>
            <w:tcW w:type="dxa" w:w="3312"/>
          </w:tcPr>
          <w:p>
            <w:r>
              <w:t>Load</w:t>
            </w:r>
          </w:p>
        </w:tc>
        <w:tc>
          <w:tcPr>
            <w:tcW w:type="dxa" w:w="3312"/>
          </w:tcPr>
          <w:p>
            <w:r>
              <w:t>CPU / memory / accelerator</w:t>
            </w:r>
          </w:p>
        </w:tc>
        <w:tc>
          <w:tcPr>
            <w:tcW w:type="dxa" w:w="3312"/>
          </w:tcPr>
          <w:p>
            <w:r>
              <w:t>Minimise staging latency</w:t>
            </w:r>
          </w:p>
        </w:tc>
      </w:tr>
      <w:tr>
        <w:tc>
          <w:tcPr>
            <w:tcW w:type="dxa" w:w="3312"/>
          </w:tcPr>
          <w:p>
            <w:r>
              <w:t>Precompute</w:t>
            </w:r>
          </w:p>
        </w:tc>
        <w:tc>
          <w:tcPr>
            <w:tcW w:type="dxa" w:w="3312"/>
          </w:tcPr>
          <w:p>
            <w:r>
              <w:t>CPU / GPU / HPC</w:t>
            </w:r>
          </w:p>
        </w:tc>
        <w:tc>
          <w:tcPr>
            <w:tcW w:type="dxa" w:w="3312"/>
          </w:tcPr>
          <w:p>
            <w:r>
              <w:t>Hide deterministic work from QPU window</w:t>
            </w:r>
          </w:p>
        </w:tc>
      </w:tr>
      <w:tr>
        <w:tc>
          <w:tcPr>
            <w:tcW w:type="dxa" w:w="3312"/>
          </w:tcPr>
          <w:p>
            <w:r>
              <w:t>Quantum</w:t>
            </w:r>
          </w:p>
        </w:tc>
        <w:tc>
          <w:tcPr>
            <w:tcW w:type="dxa" w:w="3312"/>
          </w:tcPr>
          <w:p>
            <w:r>
              <w:t>QPU / quantum runtime</w:t>
            </w:r>
          </w:p>
        </w:tc>
        <w:tc>
          <w:tcPr>
            <w:tcW w:type="dxa" w:w="3312"/>
          </w:tcPr>
          <w:p>
            <w:r>
              <w:t>Minimise critical-path duration and idle time</w:t>
            </w:r>
          </w:p>
        </w:tc>
      </w:tr>
      <w:tr>
        <w:tc>
          <w:tcPr>
            <w:tcW w:type="dxa" w:w="3312"/>
          </w:tcPr>
          <w:p>
            <w:r>
              <w:t>Post-process</w:t>
            </w:r>
          </w:p>
        </w:tc>
        <w:tc>
          <w:tcPr>
            <w:tcW w:type="dxa" w:w="3312"/>
          </w:tcPr>
          <w:p>
            <w:r>
              <w:t>CPU / GPU / HPC</w:t>
            </w:r>
          </w:p>
        </w:tc>
        <w:tc>
          <w:tcPr>
            <w:tcW w:type="dxa" w:w="3312"/>
          </w:tcPr>
          <w:p>
            <w:r>
              <w:t>Release QPU quickly and process results efficiently</w:t>
            </w:r>
          </w:p>
        </w:tc>
      </w:tr>
    </w:tbl>
    <w:p>
      <w:r>
        <w:t>Useful measurements include planned versus actual phase time, QPU idle time, data-movement overhead, classical/quantum conversion count, synchronisation overhead, quantum-critical-path duration, end-to-end latency and useful result quality.</w:t>
      </w:r>
    </w:p>
    <w:p>
      <w:pPr>
        <w:pStyle w:val="Heading1"/>
      </w:pPr>
      <w:r>
        <w:t>7. Precise Timing Reference — Future Capability</w:t>
      </w:r>
    </w:p>
    <w:p>
      <w:r>
        <w:t>A future implementation may use a precise common timing reference to coordinate QAI Pipeline phases, HPC/GPU work, quantum runtime operations and device-level timing where participating infrastructure supports it. The architecture should expose timing metadata and synchronisation contracts without depending on a particular timing facility. Any specific national or data-centre clock capability must be independently verified before becoming an implementation dependency.</w:t>
      </w:r>
    </w:p>
    <w:p>
      <w:pPr>
        <w:pStyle w:val="Heading1"/>
      </w:pPr>
      <w:r>
        <w:t>8. Dynamic Qubit Allocation</w:t>
      </w:r>
    </w:p>
    <w:p>
      <w:r>
        <w:t>Quantum resources should be allocated according to the actual quantum subproblem rather than by defaulting to maximum available capacity.</w:t>
      </w:r>
    </w:p>
    <w:p>
      <w:r>
        <w:t>Illustrative profiles may include 8, 16, 24, 32, 40 and 50 qubits. These are configurable planning profiles, not universal hardware standards. For workloads dominated by HPC/GPU processing with a bounded quantum subproblem, a smaller quantum allocation may be preferable; larger allocations should be justified by workload requirements and measured benefit.</w:t>
      </w:r>
    </w:p>
    <w:p>
      <w:pPr>
        <w:pStyle w:val="Heading1"/>
      </w:pPr>
      <w:r>
        <w:t>9. Scaling Horizon</w:t>
      </w:r>
    </w:p>
    <w:p>
      <w:r>
        <w:t>The current architectural planning horizon does not need to target million-qubit capacity. A more practical experimental scaling envelope is approximately 500–1,000 physical-qubit capacity, subject to actual hardware availability and future validation. This is an architectural planning envelope, not a claim that Bhadale IT currently operates hardware at this scale.</w:t>
      </w:r>
    </w:p>
    <w:p>
      <w:pPr>
        <w:pStyle w:val="Heading1"/>
      </w:pPr>
      <w:r>
        <w:t>10. Physical, Logical and Virtual Qubits</w:t>
      </w:r>
    </w:p>
    <w:p>
      <w:pPr>
        <w:pStyle w:val="ListBullet"/>
      </w:pPr>
      <w:r>
        <w:t>Physical qubit — hardware resource with measured and characterised behaviour.</w:t>
      </w:r>
    </w:p>
    <w:p>
      <w:pPr>
        <w:pStyle w:val="ListBullet"/>
      </w:pPr>
      <w:r>
        <w:t>Logical qubit — computational abstraction used by the algorithm and, where applicable, an error-managed representation.</w:t>
      </w:r>
    </w:p>
    <w:p>
      <w:pPr>
        <w:pStyle w:val="ListBullet"/>
      </w:pPr>
      <w:r>
        <w:t>VirtualQubit — QAI control and metadata abstraction used to represent identity, context, candidate mappings, characterisation, policies and execution history.</w:t>
      </w:r>
    </w:p>
    <w:p>
      <w:r>
        <w:t>Physical-qubit count, logical-qubit count and QEC overhead are distinct quantities and must not be treated as interchangeable.</w:t>
      </w:r>
    </w:p>
    <w:p>
      <w:pPr>
        <w:pStyle w:val="Heading1"/>
      </w:pPr>
      <w:r>
        <w:t>11. Hardware-Aware QEC and Mapping</w:t>
      </w:r>
    </w:p>
    <w:p>
      <w:r>
        <w:t>Different quantum hardware architectures may provide different error characteristics, encodings and protection mechanisms. Some architectures may reduce physical-resource overhead associated with useful logical computation. This should be treated as a hardware-specific capability to measure rather than a universal assumption.</w:t>
      </w:r>
    </w:p>
    <w:p>
      <w:r>
        <w:t>The QAI architecture should allow hardware characterisation data to influence logical-to-physical mapping, resource selection, mitigation and QEC strategy.</w:t>
      </w:r>
    </w:p>
    <w:p>
      <w:pPr>
        <w:pStyle w:val="Heading1"/>
      </w:pPr>
      <w:r>
        <w:t>12. Characterisation-Aware VirtualQubit Model</w:t>
      </w:r>
    </w:p>
    <w:p>
      <w:pPr>
        <w:pStyle w:val="ListBullet"/>
      </w:pPr>
      <w:r>
        <w:t>logical_qubit_id</w:t>
      </w:r>
    </w:p>
    <w:p>
      <w:pPr>
        <w:pStyle w:val="ListBullet"/>
      </w:pPr>
      <w:r>
        <w:t>candidate physical qubits</w:t>
      </w:r>
    </w:p>
    <w:p>
      <w:pPr>
        <w:pStyle w:val="ListBullet"/>
      </w:pPr>
      <w:r>
        <w:t>connectivity and topology requirements</w:t>
      </w:r>
    </w:p>
    <w:p>
      <w:pPr>
        <w:pStyle w:val="ListBullet"/>
      </w:pPr>
      <w:r>
        <w:t>gate-error characteristics</w:t>
      </w:r>
    </w:p>
    <w:p>
      <w:pPr>
        <w:pStyle w:val="ListBullet"/>
      </w:pPr>
      <w:r>
        <w:t>measurement-error characteristics</w:t>
      </w:r>
    </w:p>
    <w:p>
      <w:pPr>
        <w:pStyle w:val="ListBullet"/>
      </w:pPr>
      <w:r>
        <w:t>coherence and calibration information</w:t>
      </w:r>
    </w:p>
    <w:p>
      <w:pPr>
        <w:pStyle w:val="ListBullet"/>
      </w:pPr>
      <w:r>
        <w:t>noise/error profile</w:t>
      </w:r>
    </w:p>
    <w:p>
      <w:pPr>
        <w:pStyle w:val="ListBullet"/>
      </w:pPr>
      <w:r>
        <w:t>hardware protection or encoding information where available</w:t>
      </w:r>
    </w:p>
    <w:p>
      <w:pPr>
        <w:pStyle w:val="ListBullet"/>
      </w:pPr>
      <w:r>
        <w:t>effective quality estimate</w:t>
      </w:r>
    </w:p>
    <w:p>
      <w:pPr>
        <w:pStyle w:val="ListBullet"/>
      </w:pPr>
      <w:r>
        <w:t>mapping confidence</w:t>
      </w:r>
    </w:p>
    <w:p>
      <w:pPr>
        <w:pStyle w:val="ListBullet"/>
      </w:pPr>
      <w:r>
        <w:t>execution history</w:t>
      </w:r>
    </w:p>
    <w:p>
      <w:pPr>
        <w:pStyle w:val="ListBullet"/>
      </w:pPr>
      <w:r>
        <w:t>runtime policy</w:t>
      </w:r>
    </w:p>
    <w:p>
      <w:r>
        <w:t>The mapper should move beyond simple availability and consider which characterised physical resources are most suitable for the logical workload under required quality, latency and resource constraints.</w:t>
      </w:r>
    </w:p>
    <w:p>
      <w:pPr>
        <w:pStyle w:val="Heading1"/>
      </w:pPr>
      <w:r>
        <w:t>13. Adaptive Mapping Experiment</w:t>
      </w:r>
    </w:p>
    <w:p>
      <w:r>
        <w:t>A future QAI Lab experiment should compare:</w:t>
      </w:r>
    </w:p>
    <w:p>
      <w:pPr>
        <w:pStyle w:val="ListNumber"/>
      </w:pPr>
      <w:r>
        <w:t>Static physical mapping</w:t>
      </w:r>
    </w:p>
    <w:p>
      <w:pPr>
        <w:pStyle w:val="ListNumber"/>
      </w:pPr>
      <w:r>
        <w:t>Characterisation-aware physical mapping</w:t>
      </w:r>
    </w:p>
    <w:p>
      <w:pPr>
        <w:pStyle w:val="ListNumber"/>
      </w:pPr>
      <w:r>
        <w:t>VirtualQubit-aware mapping</w:t>
      </w:r>
    </w:p>
    <w:p>
      <w:pPr>
        <w:pStyle w:val="ListNumber"/>
      </w:pPr>
      <w:r>
        <w:t>Adaptive remapping</w:t>
      </w:r>
    </w:p>
    <w:p>
      <w:pPr>
        <w:pStyle w:val="ListNumber"/>
      </w:pPr>
      <w:r>
        <w:t>Hardware-specific protected or encoded mapping</w:t>
      </w:r>
    </w:p>
    <w:p>
      <w:r>
        <w:t>Candidate measurements:</w:t>
      </w:r>
    </w:p>
    <w:p>
      <w:pPr>
        <w:pStyle w:val="ListBullet"/>
      </w:pPr>
      <w:r>
        <w:t>physical qubits consumed</w:t>
      </w:r>
    </w:p>
    <w:p>
      <w:pPr>
        <w:pStyle w:val="ListBullet"/>
      </w:pPr>
      <w:r>
        <w:t>logical qubits supported</w:t>
      </w:r>
    </w:p>
    <w:p>
      <w:pPr>
        <w:pStyle w:val="ListBullet"/>
      </w:pPr>
      <w:r>
        <w:t>physical and logical error rates</w:t>
      </w:r>
    </w:p>
    <w:p>
      <w:pPr>
        <w:pStyle w:val="ListBullet"/>
      </w:pPr>
      <w:r>
        <w:t>effective fidelity</w:t>
      </w:r>
    </w:p>
    <w:p>
      <w:pPr>
        <w:pStyle w:val="ListBullet"/>
      </w:pPr>
      <w:r>
        <w:t>QEC/protection overhead</w:t>
      </w:r>
    </w:p>
    <w:p>
      <w:pPr>
        <w:pStyle w:val="ListBullet"/>
      </w:pPr>
      <w:r>
        <w:t>mapping changes and stability</w:t>
      </w:r>
    </w:p>
    <w:p>
      <w:pPr>
        <w:pStyle w:val="ListBullet"/>
      </w:pPr>
      <w:r>
        <w:t>QPU occupancy</w:t>
      </w:r>
    </w:p>
    <w:p>
      <w:pPr>
        <w:pStyle w:val="ListBullet"/>
      </w:pPr>
      <w:r>
        <w:t>execution latency</w:t>
      </w:r>
    </w:p>
    <w:p>
      <w:pPr>
        <w:pStyle w:val="ListBullet"/>
      </w:pPr>
      <w:r>
        <w:t>shots required</w:t>
      </w:r>
    </w:p>
    <w:p>
      <w:pPr>
        <w:pStyle w:val="ListBullet"/>
      </w:pPr>
      <w:r>
        <w:t>recovery/retry rate</w:t>
      </w:r>
    </w:p>
    <w:p>
      <w:pPr>
        <w:pStyle w:val="ListBullet"/>
      </w:pPr>
      <w:r>
        <w:t>final solution quality</w:t>
      </w:r>
    </w:p>
    <w:p>
      <w:pPr>
        <w:pStyle w:val="ListBullet"/>
      </w:pPr>
      <w:r>
        <w:t>cost per useful result</w:t>
      </w:r>
    </w:p>
    <w:p>
      <w:pPr>
        <w:pStyle w:val="Heading1"/>
      </w:pPr>
      <w:r>
        <w:t>14. Effective Quantum Capacity</w:t>
      </w:r>
    </w:p>
    <w:p>
      <w:r>
        <w:t>The key research question is not simply how many physical qubits a QPU contains. The more useful question is how much reliable logical computation can be obtained from a given physical-qubit budget. The QAI Lab can investigate whether decomposition, mapping, hardware characterisation, mitigation and protection strategies increase effective useful capacity without assuming a universal scaling law.</w:t>
      </w:r>
    </w:p>
    <w:p>
      <w:pPr>
        <w:pStyle w:val="Heading1"/>
      </w:pPr>
      <w:r>
        <w:t>15. QAI Execution Zones</w:t>
      </w:r>
    </w:p>
    <w:p>
      <w:pPr>
        <w:pStyle w:val="ListBullet"/>
      </w:pPr>
      <w:r>
        <w:t>Zone A — Classical Preparation: HPC/CPU/GPU prefetch, transformation, mapping preparation, ansatz preparation, static binding, file I/O and staging.</w:t>
      </w:r>
    </w:p>
    <w:p>
      <w:pPr>
        <w:pStyle w:val="ListBullet"/>
      </w:pPr>
      <w:r>
        <w:t>Zone B — Quantum Critical Path: minimum necessary QPU interaction and quantum operations, with only genuinely required runtime feedback.</w:t>
      </w:r>
    </w:p>
    <w:p>
      <w:pPr>
        <w:pStyle w:val="ListBullet"/>
      </w:pPr>
      <w:r>
        <w:t>Zone C — Classical Post-Processing: decoding, measurement analysis, result fusion, classical optimisation, evidence and telemetry.</w:t>
      </w:r>
    </w:p>
    <w:p>
      <w:pPr>
        <w:pStyle w:val="Heading1"/>
      </w:pPr>
      <w:r>
        <w:t>16. Future Optical / Transduction Capability</w:t>
      </w:r>
    </w:p>
    <w:p>
      <w:r>
        <w:t>Optical data transduction, flying-qubit concepts and quantum interconnect capabilities may be represented as future hardware/service interfaces. The current architecture should not assume their availability. Classical networking must not be treated as quantum-state transport.</w:t>
      </w:r>
    </w:p>
    <w:p>
      <w:pPr>
        <w:pStyle w:val="Heading1"/>
      </w:pPr>
      <w:r>
        <w:t>17. Implementation Philosophy</w:t>
      </w:r>
    </w:p>
    <w:p>
      <w:pPr>
        <w:pStyle w:val="ListBullet"/>
      </w:pPr>
      <w:r>
        <w:t>Start with simple, reliable scheduling, balancing, phased execution and time-bin control.</w:t>
      </w:r>
    </w:p>
    <w:p>
      <w:pPr>
        <w:pStyle w:val="ListBullet"/>
      </w:pPr>
      <w:r>
        <w:t>Use actual measurements to locate bottlenecks before introducing sophisticated orchestration.</w:t>
      </w:r>
    </w:p>
    <w:p>
      <w:pPr>
        <w:pStyle w:val="ListBullet"/>
      </w:pPr>
      <w:r>
        <w:t>Do not optimise for maximum qubit count by default.</w:t>
      </w:r>
    </w:p>
    <w:p>
      <w:pPr>
        <w:pStyle w:val="ListBullet"/>
      </w:pPr>
      <w:r>
        <w:t>Prefer workload-specific resource allocation.</w:t>
      </w:r>
    </w:p>
    <w:p>
      <w:pPr>
        <w:pStyle w:val="ListBullet"/>
      </w:pPr>
      <w:r>
        <w:t>Move deterministic classical work away from the quantum critical path where safe.</w:t>
      </w:r>
    </w:p>
    <w:p>
      <w:pPr>
        <w:pStyle w:val="ListBullet"/>
      </w:pPr>
      <w:r>
        <w:t>Treat hardware characterisation as runtime information.</w:t>
      </w:r>
    </w:p>
    <w:p>
      <w:pPr>
        <w:pStyle w:val="ListBullet"/>
      </w:pPr>
      <w:r>
        <w:t>Keep QEC and protection strategies configurable and hardware-aware.</w:t>
      </w:r>
    </w:p>
    <w:p>
      <w:pPr>
        <w:pStyle w:val="ListBullet"/>
      </w:pPr>
      <w:r>
        <w:t>Treat 500–1,000 qubits as a future planning envelope, not a present capability claim.</w:t>
      </w:r>
    </w:p>
    <w:p>
      <w:pPr>
        <w:pStyle w:val="ListBullet"/>
      </w:pPr>
      <w:r>
        <w:t>Preserve clear evidence boundaries between conceptual, simulated, emulated, experimentally validated and production capabilities.</w:t>
      </w:r>
    </w:p>
    <w:p>
      <w:pPr>
        <w:pStyle w:val="Heading1"/>
      </w:pPr>
      <w:r>
        <w:t>18. Proposed VS Code Development Areas</w:t>
      </w:r>
    </w:p>
    <w:p>
      <w:pPr>
        <w:pStyle w:val="ListBullet"/>
      </w:pPr>
      <w:r>
        <w:t>qai_lab/quantum_runtime/scheduler/</w:t>
      </w:r>
    </w:p>
    <w:p>
      <w:pPr>
        <w:pStyle w:val="ListBullet"/>
      </w:pPr>
      <w:r>
        <w:t>qai_lab/quantum_runtime/balancer/</w:t>
      </w:r>
    </w:p>
    <w:p>
      <w:pPr>
        <w:pStyle w:val="ListBullet"/>
      </w:pPr>
      <w:r>
        <w:t>qai_lab/quantum_runtime/phase_control/</w:t>
      </w:r>
    </w:p>
    <w:p>
      <w:pPr>
        <w:pStyle w:val="ListBullet"/>
      </w:pPr>
      <w:r>
        <w:t>qai_lab/quantum_runtime/time_bins/</w:t>
      </w:r>
    </w:p>
    <w:p>
      <w:pPr>
        <w:pStyle w:val="ListBullet"/>
      </w:pPr>
      <w:r>
        <w:t>qai_lab/quantum_runtime/qubit_allocation/</w:t>
      </w:r>
    </w:p>
    <w:p>
      <w:pPr>
        <w:pStyle w:val="ListBullet"/>
      </w:pPr>
      <w:r>
        <w:t>qai_lab/quantum_runtime/mapping/</w:t>
      </w:r>
    </w:p>
    <w:p>
      <w:pPr>
        <w:pStyle w:val="ListBullet"/>
      </w:pPr>
      <w:r>
        <w:t>qai_lab/quantum_runtime/transpilation/</w:t>
      </w:r>
    </w:p>
    <w:p>
      <w:pPr>
        <w:pStyle w:val="ListBullet"/>
      </w:pPr>
      <w:r>
        <w:t>qai_lab/quantum_runtime/evidence/</w:t>
      </w:r>
    </w:p>
    <w:p>
      <w:pPr>
        <w:pStyle w:val="ListBullet"/>
      </w:pPr>
      <w:r>
        <w:t>qai_lab/gateway/</w:t>
      </w:r>
    </w:p>
    <w:p>
      <w:pPr>
        <w:pStyle w:val="ListBullet"/>
      </w:pPr>
      <w:r>
        <w:t>qai_lab/hpc/</w:t>
      </w:r>
    </w:p>
    <w:p>
      <w:pPr>
        <w:pStyle w:val="ListBullet"/>
      </w:pPr>
      <w:r>
        <w:t>qai_lab/interfaces/</w:t>
      </w:r>
    </w:p>
    <w:p>
      <w:pPr>
        <w:pStyle w:val="ListBullet"/>
      </w:pPr>
      <w:r>
        <w:t>qai_lab/planners/</w:t>
      </w:r>
    </w:p>
    <w:p>
      <w:pPr>
        <w:pStyle w:val="ListBullet"/>
      </w:pPr>
      <w:r>
        <w:t>qai_lab/experiments/</w:t>
      </w:r>
    </w:p>
    <w:p>
      <w:pPr>
        <w:pStyle w:val="Heading1"/>
      </w:pPr>
      <w:r>
        <w:t>19. Relationship to Existing Architecture</w:t>
      </w:r>
    </w:p>
    <w:p>
      <w:r>
        <w:t>General Framework defines reusable abstractions and governance. General Factory contains canonical reusable implementations such as the Modular Quantum Planner. QAI Lab provides the experimentation and client co-design environment. The HPC Gateway and Quantum Runtime should reference or invoke canonical General Factory implementations rather than duplicate them.</w:t>
      </w:r>
    </w:p>
    <w:p>
      <w:pPr>
        <w:pStyle w:val="Heading1"/>
      </w:pPr>
      <w:r>
        <w:t>20. Development Status and Guardrails</w:t>
      </w:r>
    </w:p>
    <w:p>
      <w:r>
        <w:t>Status: evolving architecture / development specification. Concepts in this document are intended to be tested during implementation. Bottlenecks, timing behaviour, resource requirements, mapping effectiveness, QEC overhead and hardware-specific capabilities must be established through experiments and evidence.</w:t>
      </w:r>
    </w:p>
    <w:p>
      <w:r>
        <w:t>No universal quantum advantage, universal QEC reduction, 1:1 physical-to-logical mapping, specific quantum-network capability or million-qubit scaling assumption is implied by this document.</w:t>
      </w:r>
    </w:p>
    <w:p>
      <w:pPr>
        <w:pStyle w:val="Heading1"/>
      </w:pPr>
      <w:r>
        <w:t>21. Suggested First Experiments</w:t>
      </w:r>
    </w:p>
    <w:p>
      <w:pPr>
        <w:pStyle w:val="ListNumber"/>
      </w:pPr>
      <w:r>
        <w:t>Compare three- versus five-phase pipeline schedules using simulated workload timing.</w:t>
      </w:r>
    </w:p>
    <w:p>
      <w:pPr>
        <w:pStyle w:val="ListNumber"/>
      </w:pPr>
      <w:r>
        <w:t>Measure prefetch/precompute benefit versus doing the same work inside the execution path.</w:t>
      </w:r>
    </w:p>
    <w:p>
      <w:pPr>
        <w:pStyle w:val="ListNumber"/>
      </w:pPr>
      <w:r>
        <w:t>Measure QPU idle time caused by classical dependencies.</w:t>
      </w:r>
    </w:p>
    <w:p>
      <w:pPr>
        <w:pStyle w:val="ListNumber"/>
      </w:pPr>
      <w:r>
        <w:t>Compare fixed versus dynamic qubit allocation.</w:t>
      </w:r>
    </w:p>
    <w:p>
      <w:pPr>
        <w:pStyle w:val="ListNumber"/>
      </w:pPr>
      <w:r>
        <w:t>Compare static versus characterisation-aware physical mapping.</w:t>
      </w:r>
    </w:p>
    <w:p>
      <w:pPr>
        <w:pStyle w:val="ListNumber"/>
      </w:pPr>
      <w:r>
        <w:t>Compare VirtualQubit-aware mapping with a simple baseline.</w:t>
      </w:r>
    </w:p>
    <w:p>
      <w:pPr>
        <w:pStyle w:val="ListNumber"/>
      </w:pPr>
      <w:r>
        <w:t>Measure the effect of reducing classical↔quantum conversions.</w:t>
      </w:r>
    </w:p>
    <w:p>
      <w:pPr>
        <w:pStyle w:val="ListNumber"/>
      </w:pPr>
      <w:r>
        <w:t>Evaluate cycle-time utilisation and quantum-critical-path ratio.</w:t>
      </w:r>
    </w:p>
    <w:p>
      <w:pPr>
        <w:pStyle w:val="ListNumber"/>
      </w:pPr>
      <w:r>
        <w:t>Evaluate resource efficiency and result quality as quantum allocation varies.</w:t>
      </w:r>
    </w:p>
    <w:p>
      <w:pPr>
        <w:pStyle w:val="Heading1"/>
      </w:pPr>
      <w:r>
        <w:t>22. Suggested Development Milestone</w:t>
      </w:r>
    </w:p>
    <w:p>
      <w:r>
        <w:t>This specification belongs to the post-pilot QAI Lab foundation established under v1.2.0-post-pilot-qai-lab-foundation. Implementation should proceed incrementally and the architecture should be revised when actual experiments reveal bottlenecks or better designs.</w:t>
      </w:r>
    </w:p>
    <w:p>
      <w:pPr>
        <w:pStyle w:val="Heading1"/>
      </w:pPr>
      <w:r>
        <w:t>23. Document Classification</w:t>
      </w:r>
    </w:p>
    <w:p>
      <w:r>
        <w:t>Working development specification • Internal architecture • Evidence-led • Evolving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