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Australia State &amp; Government Digital Landscape</w:t>
        <w:br/>
        <w:t>QAI / FAEP Alignment Roadmap</w:t>
      </w:r>
    </w:p>
    <w:p>
      <w:pPr>
        <w:jc w:val="center"/>
      </w:pPr>
      <w:r>
        <w:rPr>
          <w:b/>
        </w:rPr>
        <w:t>Step-by-step working framework — NSW, ACT, Commonwealth and private-sector projects</w:t>
        <w:br/>
        <w:t>Prepared 3 October 2026 | @vijaymohire</w:t>
      </w:r>
    </w:p>
    <w:p>
      <w:pPr>
        <w:pStyle w:val="Heading1"/>
      </w:pPr>
      <w:r>
        <w:t>1. Purpose</w:t>
      </w:r>
    </w:p>
    <w:p>
      <w:r>
        <w:t>This working document establishes a practical sequence for understanding the Australian digital landscape before responding to individual government procurement opportunities. It connects public needs, national/state priorities, policies, architecture, assurance, procurement, QAI/FAEP capabilities, pilots and commercialization. Buyer-portal emails are treated as demand signals, not automatic bids.</w:t>
      </w:r>
    </w:p>
    <w:p>
      <w:pPr>
        <w:pStyle w:val="Heading1"/>
      </w:pPr>
      <w:r>
        <w:t>2. Strategic distinction: NSW, ACT and Commonwealth</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Layer / jurisdiction</w:t>
            </w:r>
          </w:p>
        </w:tc>
        <w:tc>
          <w:tcPr>
            <w:tcW w:type="dxa" w:w="3312"/>
          </w:tcPr>
          <w:p>
            <w:r>
              <w:t>Working emphasis</w:t>
            </w:r>
          </w:p>
        </w:tc>
        <w:tc>
          <w:tcPr>
            <w:tcW w:type="dxa" w:w="3312"/>
          </w:tcPr>
          <w:p>
            <w:r>
              <w:t>QAI/FAEP approach</w:t>
            </w:r>
          </w:p>
        </w:tc>
      </w:tr>
      <w:tr>
        <w:tc>
          <w:tcPr>
            <w:tcW w:type="dxa" w:w="3312"/>
          </w:tcPr>
          <w:p>
            <w:r>
              <w:t>Commonwealth / APS</w:t>
            </w:r>
          </w:p>
        </w:tc>
        <w:tc>
          <w:tcPr>
            <w:tcW w:type="dxa" w:w="3312"/>
          </w:tcPr>
          <w:p>
            <w:r>
              <w:t>National policy, defence, cyber, critical technologies, quantum, AI, sovereign capability</w:t>
            </w:r>
          </w:p>
        </w:tc>
        <w:tc>
          <w:tcPr>
            <w:tcW w:type="dxa" w:w="3312"/>
          </w:tcPr>
          <w:p>
            <w:r>
              <w:t>Map national priorities, standards, assurance and Commonwealth procurement pathways.</w:t>
            </w:r>
          </w:p>
        </w:tc>
      </w:tr>
      <w:tr>
        <w:tc>
          <w:tcPr>
            <w:tcW w:type="dxa" w:w="3312"/>
          </w:tcPr>
          <w:p>
            <w:r>
              <w:t>NSW</w:t>
            </w:r>
          </w:p>
        </w:tc>
        <w:tc>
          <w:tcPr>
            <w:tcW w:type="dxa" w:w="3312"/>
          </w:tcPr>
          <w:p>
            <w:r>
              <w:t>Broad government + industry ecosystem; digital, AI, cyber, quantum/PQC, defence/aerospace, manufacturing, agrifood and other sectors</w:t>
            </w:r>
          </w:p>
        </w:tc>
        <w:tc>
          <w:tcPr>
            <w:tcW w:type="dxa" w:w="3312"/>
          </w:tcPr>
          <w:p>
            <w:r>
              <w:t>Primary broad-market state environment for the full QAI/FAEP portfolio; validate each opportunity.</w:t>
            </w:r>
          </w:p>
        </w:tc>
      </w:tr>
      <w:tr>
        <w:tc>
          <w:tcPr>
            <w:tcW w:type="dxa" w:w="3312"/>
          </w:tcPr>
          <w:p>
            <w:r>
              <w:t>ACT</w:t>
            </w:r>
          </w:p>
        </w:tc>
        <w:tc>
          <w:tcPr>
            <w:tcW w:type="dxa" w:w="3312"/>
          </w:tcPr>
          <w:p>
            <w:r>
              <w:t>Strong government focus and structured public-sector procurement</w:t>
            </w:r>
          </w:p>
        </w:tc>
        <w:tc>
          <w:tcPr>
            <w:tcW w:type="dxa" w:w="3312"/>
          </w:tcPr>
          <w:p>
            <w:r>
              <w:t>Emphasize government relationships, early engagement, agency needs and procurement lifecycle.</w:t>
            </w:r>
          </w:p>
        </w:tc>
      </w:tr>
    </w:tbl>
    <w:p>
      <w:pPr>
        <w:pStyle w:val="Heading1"/>
      </w:pPr>
      <w:r>
        <w:t>3. Government-development alignment architecture</w:t>
      </w:r>
    </w:p>
    <w:p>
      <w:pPr>
        <w:pStyle w:val="ListNumber"/>
      </w:pPr>
      <w:r>
        <w:t>National development priorities</w:t>
      </w:r>
    </w:p>
    <w:p>
      <w:pPr>
        <w:pStyle w:val="ListNumber"/>
      </w:pPr>
      <w:r>
        <w:t>State / territory priorities</w:t>
      </w:r>
    </w:p>
    <w:p>
      <w:pPr>
        <w:pStyle w:val="ListNumber"/>
      </w:pPr>
      <w:r>
        <w:t>Industry and economic-development priorities</w:t>
      </w:r>
    </w:p>
    <w:p>
      <w:pPr>
        <w:pStyle w:val="ListNumber"/>
      </w:pPr>
      <w:r>
        <w:t>Basic public or customer needs</w:t>
      </w:r>
    </w:p>
    <w:p>
      <w:pPr>
        <w:pStyle w:val="ListNumber"/>
      </w:pPr>
      <w:r>
        <w:t>Problem statements</w:t>
      </w:r>
    </w:p>
    <w:p>
      <w:pPr>
        <w:pStyle w:val="ListNumber"/>
      </w:pPr>
      <w:r>
        <w:t>Policy and priority alignment</w:t>
      </w:r>
    </w:p>
    <w:p>
      <w:pPr>
        <w:pStyle w:val="ListNumber"/>
      </w:pPr>
      <w:r>
        <w:t>Technology requirements</w:t>
      </w:r>
    </w:p>
    <w:p>
      <w:pPr>
        <w:pStyle w:val="ListNumber"/>
      </w:pPr>
      <w:r>
        <w:t>QAI / FAEP capability mapping</w:t>
      </w:r>
    </w:p>
    <w:p>
      <w:pPr>
        <w:pStyle w:val="ListNumber"/>
      </w:pPr>
      <w:r>
        <w:t>Standards, security, privacy and assurance</w:t>
      </w:r>
    </w:p>
    <w:p>
      <w:pPr>
        <w:pStyle w:val="ListNumber"/>
      </w:pPr>
      <w:r>
        <w:t>Pilot / demonstration / evidence</w:t>
      </w:r>
    </w:p>
    <w:p>
      <w:pPr>
        <w:pStyle w:val="ListNumber"/>
      </w:pPr>
      <w:r>
        <w:t>Procurement pathway</w:t>
      </w:r>
    </w:p>
    <w:p>
      <w:pPr>
        <w:pStyle w:val="ListNumber"/>
      </w:pPr>
      <w:r>
        <w:t>Commercialization and local capability</w:t>
      </w:r>
    </w:p>
    <w:p>
      <w:pPr>
        <w:pStyle w:val="ListNumber"/>
      </w:pPr>
      <w:r>
        <w:t>Scale, export and continuous improvement</w:t>
      </w:r>
    </w:p>
    <w:p>
      <w:pPr>
        <w:pStyle w:val="Heading1"/>
      </w:pPr>
      <w:r>
        <w:t>4. Digital landscape hierarchy</w:t>
      </w:r>
    </w:p>
    <w:p>
      <w:r>
        <w:t>For each jurisdiction, document the hierarchy rather than collecting policies as an unconnected list:</w:t>
      </w:r>
    </w:p>
    <w:p>
      <w:pPr>
        <w:pStyle w:val="ListBullet"/>
      </w:pPr>
      <w:r>
        <w:t>Strategic layer — government strategies and development priorities</w:t>
      </w:r>
    </w:p>
    <w:p>
      <w:pPr>
        <w:pStyle w:val="ListBullet"/>
      </w:pPr>
      <w:r>
        <w:t>Policy layer — AI, data, cloud, cyber, digital and sector policies</w:t>
      </w:r>
    </w:p>
    <w:p>
      <w:pPr>
        <w:pStyle w:val="ListBullet"/>
      </w:pPr>
      <w:r>
        <w:t>Architecture / platform layer — endorsed platforms, ICT arrangements and technical directions</w:t>
      </w:r>
    </w:p>
    <w:p>
      <w:pPr>
        <w:pStyle w:val="ListBullet"/>
      </w:pPr>
      <w:r>
        <w:t>Risk and assurance layer — security, privacy, AI assurance, digital assurance and information management</w:t>
      </w:r>
    </w:p>
    <w:p>
      <w:pPr>
        <w:pStyle w:val="ListBullet"/>
      </w:pPr>
      <w:r>
        <w:t>Procurement layer — procurement policy, ICT purchasing arrangements, panels/schemes and tender mechanisms</w:t>
      </w:r>
    </w:p>
    <w:p>
      <w:pPr>
        <w:pStyle w:val="ListBullet"/>
      </w:pPr>
      <w:r>
        <w:t>Delivery layer — business case, architecture, assessment, procurement, implementation, operation and review</w:t>
      </w:r>
    </w:p>
    <w:p>
      <w:pPr>
        <w:pStyle w:val="Heading1"/>
      </w:pPr>
      <w:r>
        <w:t>5. NSW working model</w:t>
      </w:r>
    </w:p>
    <w:p>
      <w:r>
        <w:t>Treat NSW as the principal broad state-level environment for exploring the full QAI/FAEP portfolio, while maintaining evidence discipline.</w:t>
      </w:r>
    </w:p>
    <w:p>
      <w:pPr>
        <w:pStyle w:val="ListBullet"/>
      </w:pPr>
      <w:r>
        <w:t>State development and industry priorities</w:t>
      </w:r>
    </w:p>
    <w:p>
      <w:pPr>
        <w:pStyle w:val="ListBullet"/>
      </w:pPr>
      <w:r>
        <w:t>Digital strategy and digital government policies</w:t>
      </w:r>
    </w:p>
    <w:p>
      <w:pPr>
        <w:pStyle w:val="ListBullet"/>
      </w:pPr>
      <w:r>
        <w:t>AI governance and assessment</w:t>
      </w:r>
    </w:p>
    <w:p>
      <w:pPr>
        <w:pStyle w:val="ListBullet"/>
      </w:pPr>
      <w:r>
        <w:t>Cloud and digital infrastructure</w:t>
      </w:r>
    </w:p>
    <w:p>
      <w:pPr>
        <w:pStyle w:val="ListBullet"/>
      </w:pPr>
      <w:r>
        <w:t>Cybersecurity and cyber resilience</w:t>
      </w:r>
    </w:p>
    <w:p>
      <w:pPr>
        <w:pStyle w:val="ListBullet"/>
      </w:pPr>
      <w:r>
        <w:t>Quantum and post-quantum cryptography</w:t>
      </w:r>
    </w:p>
    <w:p>
      <w:pPr>
        <w:pStyle w:val="ListBullet"/>
      </w:pPr>
      <w:r>
        <w:t>Defence and aerospace</w:t>
      </w:r>
    </w:p>
    <w:p>
      <w:pPr>
        <w:pStyle w:val="ListBullet"/>
      </w:pPr>
      <w:r>
        <w:t>Digital technologies, robotics and automation</w:t>
      </w:r>
    </w:p>
    <w:p>
      <w:pPr>
        <w:pStyle w:val="ListBullet"/>
      </w:pPr>
      <w:r>
        <w:t>Advanced manufacturing</w:t>
      </w:r>
    </w:p>
    <w:p>
      <w:pPr>
        <w:pStyle w:val="ListBullet"/>
      </w:pPr>
      <w:r>
        <w:t>Agrifood and other sector opportunities</w:t>
      </w:r>
    </w:p>
    <w:p>
      <w:pPr>
        <w:pStyle w:val="ListBullet"/>
      </w:pPr>
      <w:r>
        <w:t>NSW procurement and ICT purchasing arrangements</w:t>
      </w:r>
    </w:p>
    <w:p>
      <w:pPr>
        <w:pStyle w:val="ListBullet"/>
      </w:pPr>
      <w:r>
        <w:t>Unsolicited proposals and other engagement pathways</w:t>
      </w:r>
    </w:p>
    <w:p>
      <w:pPr>
        <w:pStyle w:val="Heading1"/>
      </w:pPr>
      <w:r>
        <w:t>6. ACT working model</w:t>
      </w:r>
    </w:p>
    <w:p>
      <w:r>
        <w:t>ACT should be approached as a government-centric relationship and delivery environment.</w:t>
      </w:r>
    </w:p>
    <w:p>
      <w:pPr>
        <w:pStyle w:val="ListNumber"/>
      </w:pPr>
      <w:r>
        <w:t>Understand ACT Government development and technology directions</w:t>
      </w:r>
    </w:p>
    <w:p>
      <w:pPr>
        <w:pStyle w:val="ListNumber"/>
      </w:pPr>
      <w:r>
        <w:t>Map agency priorities and public-service needs</w:t>
      </w:r>
    </w:p>
    <w:p>
      <w:pPr>
        <w:pStyle w:val="ListNumber"/>
      </w:pPr>
      <w:r>
        <w:t>Understand procurement legislation, policies, guidance and systems</w:t>
      </w:r>
    </w:p>
    <w:p>
      <w:pPr>
        <w:pStyle w:val="ListNumber"/>
      </w:pPr>
      <w:r>
        <w:t>Identify early market-engagement opportunities</w:t>
      </w:r>
    </w:p>
    <w:p>
      <w:pPr>
        <w:pStyle w:val="ListNumber"/>
      </w:pPr>
      <w:r>
        <w:t>Map QAI/FAEP capability to specific government problems</w:t>
      </w:r>
    </w:p>
    <w:p>
      <w:pPr>
        <w:pStyle w:val="ListNumber"/>
      </w:pPr>
      <w:r>
        <w:t>Prepare evidence-led pilot or procurement concepts</w:t>
      </w:r>
    </w:p>
    <w:p>
      <w:pPr>
        <w:pStyle w:val="ListNumber"/>
      </w:pPr>
      <w:r>
        <w:t>Build appropriate government and delivery relationships</w:t>
      </w:r>
    </w:p>
    <w:p>
      <w:pPr>
        <w:pStyle w:val="ListNumber"/>
      </w:pPr>
      <w:r>
        <w:t>Follow the relevant procurement and assurance pathway</w:t>
      </w:r>
    </w:p>
    <w:p>
      <w:pPr>
        <w:pStyle w:val="Heading1"/>
      </w:pPr>
      <w:r>
        <w:t>7. Government project lifecycle</w:t>
      </w:r>
    </w:p>
    <w:p>
      <w:r>
        <w:rPr>
          <w:b/>
        </w:rPr>
        <w:t xml:space="preserve">1. Need: </w:t>
      </w:r>
      <w:r>
        <w:t>Identify the public-service, infrastructure, economic or operational need.</w:t>
      </w:r>
    </w:p>
    <w:p>
      <w:r>
        <w:rPr>
          <w:b/>
        </w:rPr>
        <w:t xml:space="preserve">2. Problem: </w:t>
      </w:r>
      <w:r>
        <w:t>Convert the need into a clear problem statement and measurable outcome.</w:t>
      </w:r>
    </w:p>
    <w:p>
      <w:r>
        <w:rPr>
          <w:b/>
        </w:rPr>
        <w:t xml:space="preserve">3. Priority: </w:t>
      </w:r>
      <w:r>
        <w:t>Map the problem to Commonwealth and relevant state/territory priorities.</w:t>
      </w:r>
    </w:p>
    <w:p>
      <w:r>
        <w:rPr>
          <w:b/>
        </w:rPr>
        <w:t xml:space="preserve">4. Policy: </w:t>
      </w:r>
      <w:r>
        <w:t>Identify applicable policy, regulatory, security, privacy and governance requirements.</w:t>
      </w:r>
    </w:p>
    <w:p>
      <w:r>
        <w:rPr>
          <w:b/>
        </w:rPr>
        <w:t xml:space="preserve">5. Architecture: </w:t>
      </w:r>
      <w:r>
        <w:t>Determine technology, data, integration, cloud, edge and interoperability requirements.</w:t>
      </w:r>
    </w:p>
    <w:p>
      <w:r>
        <w:rPr>
          <w:b/>
        </w:rPr>
        <w:t xml:space="preserve">6. QAI/FAEP: </w:t>
      </w:r>
      <w:r>
        <w:t>Map only relevant and evidence-supported QAI/FAEP capabilities.</w:t>
      </w:r>
    </w:p>
    <w:p>
      <w:r>
        <w:rPr>
          <w:b/>
        </w:rPr>
        <w:t xml:space="preserve">7. Assessment: </w:t>
      </w:r>
      <w:r>
        <w:t>Classify readiness and identify evidence or capability gaps.</w:t>
      </w:r>
    </w:p>
    <w:p>
      <w:r>
        <w:rPr>
          <w:b/>
        </w:rPr>
        <w:t xml:space="preserve">8. Pilot: </w:t>
      </w:r>
      <w:r>
        <w:t>Use simulation, emulation, PoC or controlled pilot as appropriate.</w:t>
      </w:r>
    </w:p>
    <w:p>
      <w:r>
        <w:rPr>
          <w:b/>
        </w:rPr>
        <w:t xml:space="preserve">9. Assurance: </w:t>
      </w:r>
      <w:r>
        <w:t>Complete required security, privacy, AI, architecture and other assurance activities.</w:t>
      </w:r>
    </w:p>
    <w:p>
      <w:r>
        <w:rPr>
          <w:b/>
        </w:rPr>
        <w:t xml:space="preserve">10. Procurement: </w:t>
      </w:r>
      <w:r>
        <w:t>Select the applicable procurement pathway, panel, scheme, tender or proposal mechanism.</w:t>
      </w:r>
    </w:p>
    <w:p>
      <w:r>
        <w:rPr>
          <w:b/>
        </w:rPr>
        <w:t xml:space="preserve">11. Implementation: </w:t>
      </w:r>
      <w:r>
        <w:t>Deploy with configuration, governance, monitoring and change management.</w:t>
      </w:r>
    </w:p>
    <w:p>
      <w:r>
        <w:rPr>
          <w:b/>
        </w:rPr>
        <w:t xml:space="preserve">12. Scale: </w:t>
      </w:r>
      <w:r>
        <w:t>Measure outcomes, improve the system and assess wider deployment/export.</w:t>
      </w:r>
    </w:p>
    <w:p>
      <w:pPr>
        <w:pStyle w:val="Heading1"/>
      </w:pPr>
      <w:r>
        <w:t>8. Private-sector project lifecycle</w:t>
      </w:r>
    </w:p>
    <w:p>
      <w:r>
        <w:t>Private projects should not automatically be treated as subject to every NSW or ACT Government internal policy. Determine requirements from applicable law, sector regulation, contracts, standards, customer requirements and government funding/procurement conditions.</w:t>
      </w:r>
    </w:p>
    <w:p>
      <w:pPr>
        <w:pStyle w:val="ListBullet"/>
      </w:pPr>
      <w:r>
        <w:t>Applicable legislation and regulation</w:t>
      </w:r>
    </w:p>
    <w:p>
      <w:pPr>
        <w:pStyle w:val="ListBullet"/>
      </w:pPr>
      <w:r>
        <w:t>Sector-specific requirements</w:t>
      </w:r>
    </w:p>
    <w:p>
      <w:pPr>
        <w:pStyle w:val="ListBullet"/>
      </w:pPr>
      <w:r>
        <w:t>Privacy and data obligations</w:t>
      </w:r>
    </w:p>
    <w:p>
      <w:pPr>
        <w:pStyle w:val="ListBullet"/>
      </w:pPr>
      <w:r>
        <w:t>Cybersecurity and resilience requirements</w:t>
      </w:r>
    </w:p>
    <w:p>
      <w:pPr>
        <w:pStyle w:val="ListBullet"/>
      </w:pPr>
      <w:r>
        <w:t>Contractual/customer requirements</w:t>
      </w:r>
    </w:p>
    <w:p>
      <w:pPr>
        <w:pStyle w:val="ListBullet"/>
      </w:pPr>
      <w:r>
        <w:t>Relevant technical and management standards</w:t>
      </w:r>
    </w:p>
    <w:p>
      <w:pPr>
        <w:pStyle w:val="ListBullet"/>
      </w:pPr>
      <w:r>
        <w:t>Government requirements where the project supplies government or handles government information</w:t>
      </w:r>
    </w:p>
    <w:p>
      <w:r>
        <w:t>Classify each requirement as: Mandatory | Contractual | Recommended | Voluntary / Adopted.</w:t>
      </w:r>
    </w:p>
    <w:p>
      <w:pPr>
        <w:pStyle w:val="Heading1"/>
      </w:pPr>
      <w:r>
        <w:t>9. Australia Made and local capability</w:t>
      </w:r>
    </w:p>
    <w:p>
      <w:r>
        <w:t>Australian presence, Australian ownership, Australian development, Australian manufacturing and use of an official Australian Made logo are different claims. Do not use an official Australian Made claim unless the applicable licensing and origin requirements have been established for the particular product.</w:t>
      </w:r>
    </w:p>
    <w:p>
      <w:pPr>
        <w:pStyle w:val="ListNumber"/>
      </w:pPr>
      <w:r>
        <w:t>Australian R&amp;D</w:t>
      </w:r>
    </w:p>
    <w:p>
      <w:pPr>
        <w:pStyle w:val="ListNumber"/>
      </w:pPr>
      <w:r>
        <w:t>Australian engineering and product development</w:t>
      </w:r>
    </w:p>
    <w:p>
      <w:pPr>
        <w:pStyle w:val="ListNumber"/>
      </w:pPr>
      <w:r>
        <w:t>Australian integration</w:t>
      </w:r>
    </w:p>
    <w:p>
      <w:pPr>
        <w:pStyle w:val="ListNumber"/>
      </w:pPr>
      <w:r>
        <w:t>Australian manufacturing / assembly where applicable</w:t>
      </w:r>
    </w:p>
    <w:p>
      <w:pPr>
        <w:pStyle w:val="ListNumber"/>
      </w:pPr>
      <w:r>
        <w:t>Australian supply chain</w:t>
      </w:r>
    </w:p>
    <w:p>
      <w:pPr>
        <w:pStyle w:val="ListNumber"/>
      </w:pPr>
      <w:r>
        <w:t>Australian deployment and service capability</w:t>
      </w:r>
    </w:p>
    <w:p>
      <w:pPr>
        <w:pStyle w:val="ListNumber"/>
      </w:pPr>
      <w:r>
        <w:t>Evidence of local value addition</w:t>
      </w:r>
    </w:p>
    <w:p>
      <w:pPr>
        <w:pStyle w:val="ListNumber"/>
      </w:pPr>
      <w:r>
        <w:t>Eligibility/licensing evidence before using any formal Australian Made claim</w:t>
      </w:r>
    </w:p>
    <w:p>
      <w:pPr>
        <w:pStyle w:val="Heading1"/>
      </w:pPr>
      <w:r>
        <w:t>10. FAEP jurisdictional configuration layer</w:t>
      </w:r>
    </w:p>
    <w:p>
      <w:r>
        <w:t>FAEP can provide a common ecosystem/lifecycle layer with jurisdiction-specific configuration.</w:t>
      </w:r>
    </w:p>
    <w:p>
      <w:pPr>
        <w:pStyle w:val="ListBullet"/>
      </w:pPr>
      <w:r>
        <w:t>Common FAEP/QAI capability model</w:t>
      </w:r>
    </w:p>
    <w:p>
      <w:pPr>
        <w:pStyle w:val="ListBullet"/>
      </w:pPr>
      <w:r>
        <w:t>Jurisdiction configuration: Commonwealth / NSW / ACT / other</w:t>
      </w:r>
    </w:p>
    <w:p>
      <w:pPr>
        <w:pStyle w:val="ListBullet"/>
      </w:pPr>
      <w:r>
        <w:t>Applicable policies and standards</w:t>
      </w:r>
    </w:p>
    <w:p>
      <w:pPr>
        <w:pStyle w:val="ListBullet"/>
      </w:pPr>
      <w:r>
        <w:t>Applicable procurement rules</w:t>
      </w:r>
    </w:p>
    <w:p>
      <w:pPr>
        <w:pStyle w:val="ListBullet"/>
      </w:pPr>
      <w:r>
        <w:t>Security/privacy/AI assurance controls</w:t>
      </w:r>
    </w:p>
    <w:p>
      <w:pPr>
        <w:pStyle w:val="ListBullet"/>
      </w:pPr>
      <w:r>
        <w:t>Evidence requirements</w:t>
      </w:r>
    </w:p>
    <w:p>
      <w:pPr>
        <w:pStyle w:val="ListBullet"/>
      </w:pPr>
      <w:r>
        <w:t>Project-specific configuration</w:t>
      </w:r>
    </w:p>
    <w:p>
      <w:pPr>
        <w:pStyle w:val="ListBullet"/>
      </w:pPr>
      <w:r>
        <w:t>Deployment and operational controls</w:t>
      </w:r>
    </w:p>
    <w:p>
      <w:pPr>
        <w:pStyle w:val="Heading1"/>
      </w:pPr>
      <w:r>
        <w:t>11. Proposed repository structure</w:t>
      </w:r>
    </w:p>
    <w:p>
      <w:r>
        <w:rPr>
          <w:rFonts w:ascii="Consolas" w:hAnsi="Consolas"/>
          <w:sz w:val="16"/>
        </w:rPr>
        <w:t>australia/</w:t>
        <w:br/>
        <w:t>├── frameworks/</w:t>
        <w:br/>
        <w:t>│   ├── README.md</w:t>
        <w:br/>
        <w:t>│   ├── government_development_alignment.md</w:t>
        <w:br/>
        <w:t>│   ├── public_needs_framework.md</w:t>
        <w:br/>
        <w:t>│   ├── policy_to_capability_mapping.md</w:t>
        <w:br/>
        <w:t>│   ├── technology_priority_framework.md</w:t>
        <w:br/>
        <w:t>│   ├── standards_assurance_framework.md</w:t>
        <w:br/>
        <w:t>│   ├── procurement_alignment_framework.md</w:t>
        <w:br/>
        <w:t>│   ├── commercialization_pathways.md</w:t>
        <w:br/>
        <w:t>│   └── jurisdictional_compliance.md</w:t>
        <w:br/>
        <w:t>├── digital_landscape/</w:t>
        <w:br/>
        <w:t>│   ├── README.md</w:t>
        <w:br/>
        <w:t>│   ├── national_digital_landscape.md</w:t>
        <w:br/>
        <w:t>│   ├── nsw_digital_landscape.md</w:t>
        <w:br/>
        <w:t>│   ├── act_digital_landscape.md</w:t>
        <w:br/>
        <w:t>│   ├── government_project_lifecycle.md</w:t>
        <w:br/>
        <w:t>│   ├── private_project_lifecycle.md</w:t>
        <w:br/>
        <w:t>│   └── digital_architecture_hierarchy.md</w:t>
        <w:br/>
        <w:t>├── states/</w:t>
        <w:br/>
        <w:t>│   ├── nsw/</w:t>
        <w:br/>
        <w:t>│   │   ├── README.md</w:t>
        <w:br/>
        <w:t>│   │   ├── state_priorities.md</w:t>
        <w:br/>
        <w:t>│   │   ├── technology_priorities.md</w:t>
        <w:br/>
        <w:t>│   │   ├── defence_aerospace.md</w:t>
        <w:br/>
        <w:t>│   │   ├── digital_ai.md</w:t>
        <w:br/>
        <w:t>│   │   ├── cyber_security.md</w:t>
        <w:br/>
        <w:t>│   │   ├── quantum_pqc.md</w:t>
        <w:br/>
        <w:t>│   │   ├── sector_alignment.md</w:t>
        <w:br/>
        <w:t>│   │   ├── pilot_opportunities.md</w:t>
        <w:br/>
        <w:t>│   │   ├── commercialization.md</w:t>
        <w:br/>
        <w:t>│   │   └── unsolicited_proposals.md</w:t>
        <w:br/>
        <w:t>│   └── act/</w:t>
        <w:br/>
        <w:t>│       ├── README.md</w:t>
        <w:br/>
        <w:t>│       ├── territory_priorities.md</w:t>
        <w:br/>
        <w:t>│       ├── technology_priorities.md</w:t>
        <w:br/>
        <w:t>│       ├── digital_ai.md</w:t>
        <w:br/>
        <w:t>│       ├── cyber_security.md</w:t>
        <w:br/>
        <w:t>│       ├── quantum_pqc.md</w:t>
        <w:br/>
        <w:t>│       ├── sector_alignment.md</w:t>
        <w:br/>
        <w:t>│       ├── pilot_opportunities.md</w:t>
        <w:br/>
        <w:t>│       └── commercialization.md</w:t>
        <w:br/>
        <w:t>├── procurement/</w:t>
        <w:br/>
        <w:t>│   ├── README.md</w:t>
        <w:br/>
        <w:t>│   ├── buyer_portals.md</w:t>
        <w:br/>
        <w:t>│   ├── opportunity_classification.md</w:t>
        <w:br/>
        <w:t>│   ├── tender_assessment.md</w:t>
        <w:br/>
        <w:t>│   ├── capability_to_tender_mapping.md</w:t>
        <w:br/>
        <w:t>│   └── evidence_requirements.md</w:t>
        <w:br/>
        <w:t>└── commercialization/</w:t>
        <w:br/>
        <w:t xml:space="preserve">    ├── australian_made/</w:t>
        <w:br/>
        <w:t xml:space="preserve">    │   ├── eligibility.md</w:t>
        <w:br/>
        <w:t xml:space="preserve">    │   ├── manufacturing_model.md</w:t>
        <w:br/>
        <w:t xml:space="preserve">    │   ├── supply_chain.md</w:t>
        <w:br/>
        <w:t xml:space="preserve">    │   ├── local_value_add.md</w:t>
        <w:br/>
        <w:t xml:space="preserve">    │   ├── product_origin.md</w:t>
        <w:br/>
        <w:t xml:space="preserve">    │   └── certification_evidence.md</w:t>
        <w:br/>
        <w:t xml:space="preserve">    ├── local_capability.md</w:t>
        <w:br/>
        <w:t xml:space="preserve">    ├── australian_supply_chain.md</w:t>
        <w:br/>
        <w:t xml:space="preserve">    └── market_entry.md</w:t>
      </w:r>
    </w:p>
    <w:p>
      <w:pPr>
        <w:pStyle w:val="Heading1"/>
      </w:pPr>
      <w:r>
        <w:t>12. Tender / opportunity classification</w:t>
      </w:r>
    </w:p>
    <w:p>
      <w:pPr>
        <w:pStyle w:val="ListNumber"/>
      </w:pPr>
      <w:r>
        <w:t>Which basic need does it address?</w:t>
      </w:r>
    </w:p>
    <w:p>
      <w:pPr>
        <w:pStyle w:val="ListNumber"/>
      </w:pPr>
      <w:r>
        <w:t>Which problem statement does it represent?</w:t>
      </w:r>
    </w:p>
    <w:p>
      <w:pPr>
        <w:pStyle w:val="ListNumber"/>
      </w:pPr>
      <w:r>
        <w:t>Which Commonwealth/state/territory priority does it align with?</w:t>
      </w:r>
    </w:p>
    <w:p>
      <w:pPr>
        <w:pStyle w:val="ListNumber"/>
      </w:pPr>
      <w:r>
        <w:t>Is it government, government-adjacent or private?</w:t>
      </w:r>
    </w:p>
    <w:p>
      <w:pPr>
        <w:pStyle w:val="ListNumber"/>
      </w:pPr>
      <w:r>
        <w:t>Which policy, security, privacy, AI, cloud and assurance requirements apply?</w:t>
      </w:r>
    </w:p>
    <w:p>
      <w:pPr>
        <w:pStyle w:val="ListNumber"/>
      </w:pPr>
      <w:r>
        <w:t>Which procurement mechanism applies?</w:t>
      </w:r>
    </w:p>
    <w:p>
      <w:pPr>
        <w:pStyle w:val="ListNumber"/>
      </w:pPr>
      <w:r>
        <w:t>Which QAI/FAEP capability is actually demonstrated today?</w:t>
      </w:r>
    </w:p>
    <w:p>
      <w:pPr>
        <w:pStyle w:val="ListNumber"/>
      </w:pPr>
      <w:r>
        <w:t>What evidence is missing?</w:t>
      </w:r>
    </w:p>
    <w:p>
      <w:pPr>
        <w:pStyle w:val="ListNumber"/>
      </w:pPr>
      <w:r>
        <w:t>Can the opportunity be addressed through a pilot, partnership, subcontracting or direct bid?</w:t>
      </w:r>
    </w:p>
    <w:p>
      <w:pPr>
        <w:pStyle w:val="ListNumber"/>
      </w:pPr>
      <w:r>
        <w:t>What local Australian capability/value contribution is possible?</w:t>
      </w:r>
    </w:p>
    <w:p>
      <w:pPr>
        <w:pStyle w:val="ListNumber"/>
      </w:pPr>
      <w:r>
        <w:t>What are the IP ownership and licensing boundaries?</w:t>
      </w:r>
    </w:p>
    <w:p>
      <w:pPr>
        <w:pStyle w:val="ListNumber"/>
      </w:pPr>
      <w:r>
        <w:t>What is the realistic commercial pathway?</w:t>
      </w:r>
    </w:p>
    <w:p>
      <w:pPr>
        <w:pStyle w:val="Heading1"/>
      </w:pPr>
      <w:r>
        <w:t>13. QAI/FAEP operating principle</w:t>
      </w:r>
    </w:p>
    <w:p>
      <w:r>
        <w:rPr>
          <w:b/>
        </w:rPr>
        <w:t>Reuse → Connect → Augment → Automate → Optimize → Innovate</w:t>
      </w:r>
    </w:p>
    <w:p>
      <w:r>
        <w:t>Use this sequence as an implementation philosophy: start from existing assets and infrastructure, connect systems and data, augment people and workflows, automate where justified, optimize measurable outcomes, and introduce new technology where evidence supports the change.</w:t>
      </w:r>
    </w:p>
    <w:p>
      <w:pPr>
        <w:pStyle w:val="Heading1"/>
      </w:pPr>
      <w:r>
        <w:t>14. Step-by-step execution plan</w:t>
      </w:r>
    </w:p>
    <w:p>
      <w:pPr>
        <w:pStyle w:val="ListNumber"/>
      </w:pPr>
      <w:r>
        <w:t>Create the repository folders and placeholder READMEs.</w:t>
      </w:r>
    </w:p>
    <w:p>
      <w:pPr>
        <w:pStyle w:val="ListNumber"/>
      </w:pPr>
      <w:r>
        <w:t>Document the Australian national digital and development framework.</w:t>
      </w:r>
    </w:p>
    <w:p>
      <w:pPr>
        <w:pStyle w:val="ListNumber"/>
      </w:pPr>
      <w:r>
        <w:t>Document the NSW digital, AI, cyber, cloud, quantum/PQC and procurement landscape.</w:t>
      </w:r>
    </w:p>
    <w:p>
      <w:pPr>
        <w:pStyle w:val="ListNumber"/>
      </w:pPr>
      <w:r>
        <w:t>Document the ACT government digital and procurement landscape.</w:t>
      </w:r>
    </w:p>
    <w:p>
      <w:pPr>
        <w:pStyle w:val="ListNumber"/>
      </w:pPr>
      <w:r>
        <w:t>Build the common Government Development Alignment Framework.</w:t>
      </w:r>
    </w:p>
    <w:p>
      <w:pPr>
        <w:pStyle w:val="ListNumber"/>
      </w:pPr>
      <w:r>
        <w:t>Build the Basic Public Needs Catalogue.</w:t>
      </w:r>
    </w:p>
    <w:p>
      <w:pPr>
        <w:pStyle w:val="ListNumber"/>
      </w:pPr>
      <w:r>
        <w:t>Build the Policy → Capability → Evidence mapping.</w:t>
      </w:r>
    </w:p>
    <w:p>
      <w:pPr>
        <w:pStyle w:val="ListNumber"/>
      </w:pPr>
      <w:r>
        <w:t>Build the QAI/FAEP jurisdictional configuration model.</w:t>
      </w:r>
    </w:p>
    <w:p>
      <w:pPr>
        <w:pStyle w:val="ListNumber"/>
      </w:pPr>
      <w:r>
        <w:t>Document government and private-project lifecycle requirements separately.</w:t>
      </w:r>
    </w:p>
    <w:p>
      <w:pPr>
        <w:pStyle w:val="ListNumber"/>
      </w:pPr>
      <w:r>
        <w:t>Create the procurement opportunity classification method.</w:t>
      </w:r>
    </w:p>
    <w:p>
      <w:pPr>
        <w:pStyle w:val="ListNumber"/>
      </w:pPr>
      <w:r>
        <w:t>Map incoming NSW/ACT buyer-portal emails into the classification method.</w:t>
      </w:r>
    </w:p>
    <w:p>
      <w:pPr>
        <w:pStyle w:val="ListNumber"/>
      </w:pPr>
      <w:r>
        <w:t>Identify pilot opportunities where existing QAI evidence is strongest.</w:t>
      </w:r>
    </w:p>
    <w:p>
      <w:pPr>
        <w:pStyle w:val="ListNumber"/>
      </w:pPr>
      <w:r>
        <w:t>Build Australian local-value and Australian Made evidence progressively.</w:t>
      </w:r>
    </w:p>
    <w:p>
      <w:pPr>
        <w:pStyle w:val="ListNumber"/>
      </w:pPr>
      <w:r>
        <w:t>Only then develop opportunity-specific proposals, bids or unsolicited proposals.</w:t>
      </w:r>
    </w:p>
    <w:p>
      <w:pPr>
        <w:pStyle w:val="Heading1"/>
      </w:pPr>
      <w:r>
        <w:t>15. Evidence discipline</w:t>
      </w:r>
    </w:p>
    <w:p>
      <w:r>
        <w:t>Maintain clear separation between: (1) official policy/priorities, (2) inferred opportunity, (3) stakeholder-validated need, (4) technical assessment, (5) demonstrated capability, (6) procurement eligibility, (7) funding eligibility, and (8) commercial assumptions.</w:t>
      </w:r>
    </w:p>
    <w:p>
      <w:r>
        <w:t>Do not claim government endorsement, demand, procurement eligibility, funding eligibility, implementation maturity or Australian Made status without supporting evidence.</w:t>
      </w:r>
    </w:p>
    <w:p>
      <w:pPr>
        <w:pStyle w:val="Heading1"/>
      </w:pPr>
      <w:r>
        <w:t>16. Working outcome</w:t>
      </w:r>
    </w:p>
    <w:p>
      <w:r>
        <w:t>The intended result is a reusable Australia-wide framework in which NSW, ACT, Commonwealth and private-sector projects can be assessed using the same QAI/FAEP capability model, while each project retains its own jurisdiction, policy, assurance, procurement and evidence configuration.</w:t>
      </w:r>
    </w:p>
    <w:p>
      <w:pPr>
        <w:pStyle w:val="Heading1"/>
      </w:pPr>
      <w:r>
        <w:t>17. Key reference sources</w:t>
      </w:r>
    </w:p>
    <w:p>
      <w:pPr>
        <w:pStyle w:val="ListBullet"/>
      </w:pPr>
      <w:r>
        <w:rPr>
          <w:b/>
        </w:rPr>
        <w:t xml:space="preserve">NSW Industry Policy: </w:t>
      </w:r>
      <w:r>
        <w:t>https://www.nsw.gov.au/departments-and-agencies/investment-nsw/resources/nsw-industry-policy</w:t>
      </w:r>
    </w:p>
    <w:p>
      <w:pPr>
        <w:pStyle w:val="ListBullet"/>
      </w:pPr>
      <w:r>
        <w:rPr>
          <w:b/>
        </w:rPr>
        <w:t xml:space="preserve">Investment NSW Focus Sectors: </w:t>
      </w:r>
      <w:r>
        <w:t>https://www.nsw.gov.au/departments-and-agencies/investment-nsw/focus-sectors</w:t>
      </w:r>
    </w:p>
    <w:p>
      <w:pPr>
        <w:pStyle w:val="ListBullet"/>
      </w:pPr>
      <w:r>
        <w:rPr>
          <w:b/>
        </w:rPr>
        <w:t xml:space="preserve">NSW Unsolicited Proposals: </w:t>
      </w:r>
      <w:r>
        <w:t>https://www.nsw.gov.au/nsw-government/engage-us/unsolicited-proposals</w:t>
      </w:r>
    </w:p>
    <w:p>
      <w:pPr>
        <w:pStyle w:val="ListBullet"/>
      </w:pPr>
      <w:r>
        <w:rPr>
          <w:b/>
        </w:rPr>
        <w:t xml:space="preserve">NSW Digital Policy: </w:t>
      </w:r>
      <w:r>
        <w:t>https://digital.nsw.gov.au/policy</w:t>
      </w:r>
    </w:p>
    <w:p>
      <w:pPr>
        <w:pStyle w:val="ListBullet"/>
      </w:pPr>
      <w:r>
        <w:rPr>
          <w:b/>
        </w:rPr>
        <w:t xml:space="preserve">NSW AI Assessment Framework: </w:t>
      </w:r>
      <w:r>
        <w:t>https://www.digital.nsw.gov.au/policy/artificial-intelligence/ai-governance-assurance-and-frameworks/nsw-ai-assessment-framework</w:t>
      </w:r>
    </w:p>
    <w:p>
      <w:pPr>
        <w:pStyle w:val="ListBullet"/>
      </w:pPr>
      <w:r>
        <w:rPr>
          <w:b/>
        </w:rPr>
        <w:t xml:space="preserve">NSW Cloud Policy: </w:t>
      </w:r>
      <w:r>
        <w:t>https://digital.nsw.gov.au/policy/cloud-policy</w:t>
      </w:r>
    </w:p>
    <w:p>
      <w:pPr>
        <w:pStyle w:val="ListBullet"/>
      </w:pPr>
      <w:r>
        <w:rPr>
          <w:b/>
        </w:rPr>
        <w:t xml:space="preserve">NSW Procurement Policy Framework: </w:t>
      </w:r>
      <w:r>
        <w:t>https://www.info.buy.nsw.gov.au/policy-library/policies/procurement-policy-framework</w:t>
      </w:r>
    </w:p>
    <w:p>
      <w:pPr>
        <w:pStyle w:val="ListBullet"/>
      </w:pPr>
      <w:r>
        <w:rPr>
          <w:b/>
        </w:rPr>
        <w:t xml:space="preserve">NSW ICT Purchasing Framework: </w:t>
      </w:r>
      <w:r>
        <w:t>https://www.info.buy.nsw.gov.au/resources/ICT-Purchasing-Framework</w:t>
      </w:r>
    </w:p>
    <w:p>
      <w:pPr>
        <w:pStyle w:val="ListBullet"/>
      </w:pPr>
      <w:r>
        <w:rPr>
          <w:b/>
        </w:rPr>
        <w:t xml:space="preserve">ACT Government Technology Directions: </w:t>
      </w:r>
      <w:r>
        <w:t>https://www.act.gov.au/open/act-government-technology-directions</w:t>
      </w:r>
    </w:p>
    <w:p>
      <w:pPr>
        <w:pStyle w:val="ListBullet"/>
      </w:pPr>
      <w:r>
        <w:rPr>
          <w:b/>
        </w:rPr>
        <w:t xml:space="preserve">ACT Procurement: </w:t>
      </w:r>
      <w:r>
        <w:t>https://www.procurement.act.gov.au/</w:t>
      </w:r>
    </w:p>
    <w:p>
      <w:pPr>
        <w:pStyle w:val="ListBullet"/>
      </w:pPr>
      <w:r>
        <w:rPr>
          <w:b/>
        </w:rPr>
        <w:t xml:space="preserve">ACT CBR2030: </w:t>
      </w:r>
      <w:r>
        <w:t>https://www.act.gov.au/open/cbr2030-acts-strategic-economic-development-framework</w:t>
      </w:r>
    </w:p>
    <w:p>
      <w:pPr>
        <w:jc w:val="center"/>
      </w:pPr>
      <w:r>
        <w:rPr>
          <w:i/>
        </w:rPr>
        <w:t>Working document — validate current policy, procurement and certification requirements before external use.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