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MIT OLL → QAI Enterprise Library</w:t>
        <w:br/>
        <w:t>Course Extraction Process &amp; Working Instructions</w:t>
      </w:r>
    </w:p>
    <w:p>
      <w:pPr>
        <w:jc w:val="center"/>
      </w:pPr>
      <w:r>
        <w:rPr>
          <w:i/>
        </w:rPr>
        <w:t>Standard operating guidance for all seven MIT courses</w:t>
      </w:r>
    </w:p>
    <w:p>
      <w:pPr>
        <w:pStyle w:val="Heading1"/>
      </w:pPr>
      <w:r>
        <w:t>1. Purpose</w:t>
      </w:r>
    </w:p>
    <w:p>
      <w:r>
        <w:t>Use this process to preserve the original MIT Open Learning Library course structure while systematically extracting educational, mathematical, algorithmic, experimental and engineering knowledge for the QAI Enterprise Library.</w:t>
      </w:r>
    </w:p>
    <w:p>
      <w:r>
        <w:t>The process supports two goals: retain each MIT course as a usable solved-course knowledge set, and extract reusable patterns and primitive candidates without prematurely promoting educational material into production architecture.</w:t>
      </w:r>
    </w:p>
    <w:p>
      <w:pPr>
        <w:pStyle w:val="Heading1"/>
      </w:pPr>
      <w:r>
        <w:t>2. Core Principle</w:t>
      </w:r>
    </w:p>
    <w:p>
      <w:r>
        <w:t>Preserve course fidelity; perform QAI extraction as a separate layer.</w:t>
      </w:r>
    </w:p>
    <w:p>
      <w:r>
        <w:t>Evidence first; pattern second; primitive third; implementation last.</w:t>
      </w:r>
    </w:p>
    <w:p>
      <w:r>
        <w:t>Do not invent missing MIT course structure, implementation maturity, solutions, or QAI capabilities.</w:t>
      </w:r>
    </w:p>
    <w:p>
      <w:pPr>
        <w:pStyle w:val="Heading1"/>
      </w:pPr>
      <w:r>
        <w:t>3. Standard Evidence Flow</w:t>
      </w:r>
    </w:p>
    <w:p>
      <w:pPr>
        <w:pStyle w:val="ListBullet"/>
      </w:pPr>
      <w:r>
        <w:t>MIT OLL Course</w:t>
      </w:r>
    </w:p>
    <w:p>
      <w:pPr>
        <w:pStyle w:val="ListBullet"/>
      </w:pPr>
      <w:r>
        <w:t>Original Course Hierarchy</w:t>
      </w:r>
    </w:p>
    <w:p>
      <w:pPr>
        <w:pStyle w:val="ListBullet"/>
      </w:pPr>
      <w:r>
        <w:t>Subunit / Module</w:t>
      </w:r>
    </w:p>
    <w:p>
      <w:pPr>
        <w:pStyle w:val="ListBullet"/>
      </w:pPr>
      <w:r>
        <w:t>Lecture / Content / Problem Set</w:t>
      </w:r>
    </w:p>
    <w:p>
      <w:pPr>
        <w:pStyle w:val="ListBullet"/>
      </w:pPr>
      <w:r>
        <w:t>Question</w:t>
      </w:r>
    </w:p>
    <w:p>
      <w:pPr>
        <w:pStyle w:val="ListBullet"/>
      </w:pPr>
      <w:r>
        <w:t>Solved Question</w:t>
      </w:r>
    </w:p>
    <w:p>
      <w:pPr>
        <w:pStyle w:val="ListBullet"/>
      </w:pPr>
      <w:r>
        <w:t>Notebook / Experiment / Implementation</w:t>
      </w:r>
    </w:p>
    <w:p>
      <w:pPr>
        <w:pStyle w:val="ListBullet"/>
      </w:pPr>
      <w:r>
        <w:t>Algorithm / Mathematical Model</w:t>
      </w:r>
    </w:p>
    <w:p>
      <w:pPr>
        <w:pStyle w:val="ListBullet"/>
      </w:pPr>
      <w:r>
        <w:t>Recurring Pattern</w:t>
      </w:r>
    </w:p>
    <w:p>
      <w:pPr>
        <w:pStyle w:val="ListBullet"/>
      </w:pPr>
      <w:r>
        <w:t>Primitive Candidate</w:t>
      </w:r>
    </w:p>
    <w:p>
      <w:pPr>
        <w:pStyle w:val="ListBullet"/>
      </w:pPr>
      <w:r>
        <w:t>Validation</w:t>
      </w:r>
    </w:p>
    <w:p>
      <w:pPr>
        <w:pStyle w:val="ListBullet"/>
      </w:pPr>
      <w:r>
        <w:t>QAI Enterprise Library</w:t>
      </w:r>
    </w:p>
    <w:p>
      <w:pPr>
        <w:pStyle w:val="Heading1"/>
      </w:pPr>
      <w:r>
        <w:t>4. Three-Level Documentation Model</w:t>
      </w:r>
    </w:p>
    <w:p>
      <w:pPr>
        <w:pStyle w:val="Heading2"/>
      </w:pPr>
      <w:r>
        <w:t>4.1 Course Level</w:t>
      </w:r>
    </w:p>
    <w:p>
      <w:r>
        <w:t>Keep the course-level document compact: course identity, MIT hierarchy, subunits, major topics/algorithms, extraction status, major patterns, primitive candidates, cross-course relationships and final summary.</w:t>
      </w:r>
    </w:p>
    <w:p>
      <w:pPr>
        <w:pStyle w:val="Heading2"/>
      </w:pPr>
      <w:r>
        <w:t>4.2 Module / Evidence-Package Level</w:t>
      </w:r>
    </w:p>
    <w:p>
      <w:r>
        <w:t>Use the full standard course extraction template for a substantial module/evidence package: lectures, problem sets, solved questions, notebooks, algorithms/models, patterns, primitive candidates, QAI mapping, validation and provenance.</w:t>
      </w:r>
    </w:p>
    <w:p>
      <w:pPr>
        <w:pStyle w:val="Heading2"/>
      </w:pPr>
      <w:r>
        <w:t>4.3 Question / Notebook Level</w:t>
      </w:r>
    </w:p>
    <w:p>
      <w:r>
        <w:t>Use Markdown and original source files for individual questions, solved questions, notebook summaries, experiments, patterns and implementation evidence.</w:t>
      </w:r>
    </w:p>
    <w:p>
      <w:pPr>
        <w:pStyle w:val="Heading1"/>
      </w:pPr>
      <w:r>
        <w:t>5. Recommended Repository Structure</w:t>
      </w:r>
    </w:p>
    <w:p>
      <w:r>
        <w:t>mit_courses/</w:t>
        <w:br/>
        <w:t>└── courses/</w:t>
        <w:br/>
        <w:t xml:space="preserve">    └── &lt;course_id&gt;/</w:t>
        <w:br/>
        <w:t xml:space="preserve">        ├── course_overview.md</w:t>
        <w:br/>
        <w:t xml:space="preserve">        ├── course_map.md</w:t>
        <w:br/>
        <w:t xml:space="preserve">        ├── curriculum.md</w:t>
        <w:br/>
        <w:t xml:space="preserve">        ├── extraction_status.md</w:t>
        <w:br/>
        <w:t xml:space="preserve">        ├── modules/</w:t>
        <w:br/>
        <w:t xml:space="preserve">        │   └── &lt;subunit&gt;/</w:t>
        <w:br/>
        <w:t xml:space="preserve">        │       ├── README.md</w:t>
        <w:br/>
        <w:t xml:space="preserve">        │       ├── module_extraction.docx</w:t>
        <w:br/>
        <w:t xml:space="preserve">        │       ├── lectures/</w:t>
        <w:br/>
        <w:t xml:space="preserve">        │       └── problem_sets/</w:t>
        <w:br/>
        <w:t xml:space="preserve">        ├── problem_sets/</w:t>
        <w:br/>
        <w:t xml:space="preserve">        │   ├── inventory.md</w:t>
        <w:br/>
        <w:t xml:space="preserve">        │   ├── source_files/</w:t>
        <w:br/>
        <w:t xml:space="preserve">        │   ├── solved_questions/</w:t>
        <w:br/>
        <w:t xml:space="preserve">        │   └── extracted/</w:t>
        <w:br/>
        <w:t xml:space="preserve">        ├── notebooks/</w:t>
        <w:br/>
        <w:t xml:space="preserve">        │   ├── inventory.md</w:t>
        <w:br/>
        <w:t xml:space="preserve">        │   ├── raw/</w:t>
        <w:br/>
        <w:t xml:space="preserve">        │   ├── solved/</w:t>
        <w:br/>
        <w:t xml:space="preserve">        │   ├── reference/</w:t>
        <w:br/>
        <w:t xml:space="preserve">        │   └── extracted/</w:t>
        <w:br/>
        <w:t xml:space="preserve">        ├── experiments/</w:t>
        <w:br/>
        <w:t xml:space="preserve">        ├── extracted_patterns/</w:t>
        <w:br/>
        <w:t xml:space="preserve">        └── primitive_candidates/</w:t>
      </w:r>
    </w:p>
    <w:p>
      <w:pPr>
        <w:pStyle w:val="Heading1"/>
      </w:pPr>
      <w:r>
        <w:t>6. Preserve the MIT Course Hierarchy</w:t>
      </w:r>
    </w:p>
    <w:p>
      <w:pPr>
        <w:pStyle w:val="ListBullet"/>
      </w:pPr>
      <w:r>
        <w:t>Course → Subunit → Lecture / Problem Set / Assessment → Questions</w:t>
      </w:r>
    </w:p>
    <w:p>
      <w:pPr>
        <w:pStyle w:val="ListBullet"/>
      </w:pPr>
      <w:r>
        <w:t>Preserve MIT item names and terminology.</w:t>
      </w:r>
    </w:p>
    <w:p>
      <w:pPr>
        <w:pStyle w:val="ListBullet"/>
      </w:pPr>
      <w:r>
        <w:t>Capture question counts where provided.</w:t>
      </w:r>
    </w:p>
    <w:p>
      <w:pPr>
        <w:pStyle w:val="ListBullet"/>
      </w:pPr>
      <w:r>
        <w:t>Retain MIT source URLs and provenance.</w:t>
      </w:r>
    </w:p>
    <w:p>
      <w:pPr>
        <w:pStyle w:val="ListBullet"/>
      </w:pPr>
      <w:r>
        <w:t>Do not invent uninspected SU/module/lecture/problem-set names.</w:t>
      </w:r>
    </w:p>
    <w:p>
      <w:pPr>
        <w:pStyle w:val="ListBullet"/>
      </w:pPr>
      <w:r>
        <w:t>QAI interpretation belongs in extraction/mapping layers.</w:t>
      </w:r>
    </w:p>
    <w:p>
      <w:pPr>
        <w:pStyle w:val="Heading1"/>
      </w:pPr>
      <w:r>
        <w:t>7. Problem Sets and Solved Questions</w:t>
      </w:r>
    </w:p>
    <w:p>
      <w:r>
        <w:t>Solved questions are first-class evidence and remain associated with their original problem statements.</w:t>
      </w:r>
    </w:p>
    <w:p>
      <w:pPr>
        <w:pStyle w:val="ListBullet"/>
      </w:pPr>
      <w:r>
        <w:t>Preserve the original problem statement.</w:t>
      </w:r>
    </w:p>
    <w:p>
      <w:pPr>
        <w:pStyle w:val="ListBullet"/>
      </w:pPr>
      <w:r>
        <w:t>Capture each question separately where practical.</w:t>
      </w:r>
    </w:p>
    <w:p>
      <w:pPr>
        <w:pStyle w:val="ListBullet"/>
      </w:pPr>
      <w:r>
        <w:t>Capture the solved question separately.</w:t>
      </w:r>
    </w:p>
    <w:p>
      <w:pPr>
        <w:pStyle w:val="ListBullet"/>
      </w:pPr>
      <w:r>
        <w:t>Record reasoning, mathematical derivation, algorithm/procedure, assumptions and key insight.</w:t>
      </w:r>
    </w:p>
    <w:p>
      <w:pPr>
        <w:pStyle w:val="ListBullet"/>
      </w:pPr>
      <w:r>
        <w:t>Record implementation clues and validation/results.</w:t>
      </w:r>
    </w:p>
    <w:p>
      <w:pPr>
        <w:pStyle w:val="ListBullet"/>
      </w:pPr>
      <w:r>
        <w:t>Link notebooks or code to the corresponding question.</w:t>
      </w:r>
    </w:p>
    <w:p>
      <w:pPr>
        <w:pStyle w:val="ListBullet"/>
      </w:pPr>
      <w:r>
        <w:t>Extract patterns only after reviewing problem and solution evidence.</w:t>
      </w:r>
    </w:p>
    <w:p>
      <w:pPr>
        <w:pStyle w:val="Heading1"/>
      </w:pPr>
      <w:r>
        <w:t>8. Notebook Handling</w:t>
      </w:r>
    </w:p>
    <w:p>
      <w:pPr>
        <w:pStyle w:val="ListBullet"/>
      </w:pPr>
      <w:r>
        <w:t>Preserve original .ipynb files.</w:t>
      </w:r>
    </w:p>
    <w:p>
      <w:pPr>
        <w:pStyle w:val="ListBullet"/>
      </w:pPr>
      <w:r>
        <w:t>Maintain a notebook inventory.</w:t>
      </w:r>
    </w:p>
    <w:p>
      <w:pPr>
        <w:pStyle w:val="ListBullet"/>
      </w:pPr>
      <w:r>
        <w:t>Record language, framework/SDK, dependencies and execution environment.</w:t>
      </w:r>
    </w:p>
    <w:p>
      <w:pPr>
        <w:pStyle w:val="ListBullet"/>
      </w:pPr>
      <w:r>
        <w:t>Record input, output, algorithm/model and result.</w:t>
      </w:r>
    </w:p>
    <w:p>
      <w:pPr>
        <w:pStyle w:val="ListBullet"/>
      </w:pPr>
      <w:r>
        <w:t>Create an extracted Markdown summary.</w:t>
      </w:r>
    </w:p>
    <w:p>
      <w:pPr>
        <w:pStyle w:val="ListBullet"/>
      </w:pPr>
      <w:r>
        <w:t>Identify reusable implementation patterns.</w:t>
      </w:r>
    </w:p>
    <w:p>
      <w:pPr>
        <w:pStyle w:val="ListBullet"/>
      </w:pPr>
      <w:r>
        <w:t>Do not claim production maturity from a solved notebook.</w:t>
      </w:r>
    </w:p>
    <w:p>
      <w:pPr>
        <w:pStyle w:val="Heading1"/>
      </w:pPr>
      <w:r>
        <w:t>9. Pattern Extraction</w:t>
      </w:r>
    </w:p>
    <w:p>
      <w:pPr>
        <w:pStyle w:val="ListBullet"/>
      </w:pPr>
      <w:r>
        <w:t>Name the pattern.</w:t>
      </w:r>
    </w:p>
    <w:p>
      <w:pPr>
        <w:pStyle w:val="ListBullet"/>
      </w:pPr>
      <w:r>
        <w:t>Identify supporting source problems.</w:t>
      </w:r>
    </w:p>
    <w:p>
      <w:pPr>
        <w:pStyle w:val="ListBullet"/>
      </w:pPr>
      <w:r>
        <w:t>Describe the common structure.</w:t>
      </w:r>
    </w:p>
    <w:p>
      <w:pPr>
        <w:pStyle w:val="ListBullet"/>
      </w:pPr>
      <w:r>
        <w:t>Record inputs and outputs.</w:t>
      </w:r>
    </w:p>
    <w:p>
      <w:pPr>
        <w:pStyle w:val="ListBullet"/>
      </w:pPr>
      <w:r>
        <w:t>Record control/feedback where relevant.</w:t>
      </w:r>
    </w:p>
    <w:p>
      <w:pPr>
        <w:pStyle w:val="ListBullet"/>
      </w:pPr>
      <w:r>
        <w:t>Record evidence strength and limitations.</w:t>
      </w:r>
    </w:p>
    <w:p>
      <w:pPr>
        <w:pStyle w:val="ListBullet"/>
      </w:pPr>
      <w:r>
        <w:t>Look for recurrence across modules and later across courses.</w:t>
      </w:r>
    </w:p>
    <w:p>
      <w:pPr>
        <w:pStyle w:val="Heading1"/>
      </w:pPr>
      <w:r>
        <w:t>10. Primitive Candidate Extraction</w:t>
      </w:r>
    </w:p>
    <w:p>
      <w:pPr>
        <w:pStyle w:val="ListBullet"/>
      </w:pPr>
      <w:r>
        <w:t>Identify the reusable capability.</w:t>
      </w:r>
    </w:p>
    <w:p>
      <w:pPr>
        <w:pStyle w:val="ListBullet"/>
      </w:pPr>
      <w:r>
        <w:t>Separate the capability from the original application.</w:t>
      </w:r>
    </w:p>
    <w:p>
      <w:pPr>
        <w:pStyle w:val="ListBullet"/>
      </w:pPr>
      <w:r>
        <w:t>Define proposed inputs and outputs.</w:t>
      </w:r>
    </w:p>
    <w:p>
      <w:pPr>
        <w:pStyle w:val="ListBullet"/>
      </w:pPr>
      <w:r>
        <w:t>Describe API concept and runtime requirements.</w:t>
      </w:r>
    </w:p>
    <w:p>
      <w:pPr>
        <w:pStyle w:val="ListBullet"/>
      </w:pPr>
      <w:r>
        <w:t>Identify dependencies.</w:t>
      </w:r>
    </w:p>
    <w:p>
      <w:pPr>
        <w:pStyle w:val="ListBullet"/>
      </w:pPr>
      <w:r>
        <w:t>Define validation required.</w:t>
      </w:r>
    </w:p>
    <w:p>
      <w:pPr>
        <w:pStyle w:val="ListBullet"/>
      </w:pPr>
      <w:r>
        <w:t>Assign maturity.</w:t>
      </w:r>
    </w:p>
    <w:p>
      <w:pPr>
        <w:pStyle w:val="ListBullet"/>
      </w:pPr>
      <w:r>
        <w:t>Recommend promotion only when evidence supports it.</w:t>
      </w:r>
    </w:p>
    <w:p>
      <w:pPr>
        <w:pStyle w:val="Heading1"/>
      </w:pPr>
      <w:r>
        <w:t>11. Example: HSP / Shor → AQSE</w:t>
      </w:r>
    </w:p>
    <w:p>
      <w:r>
        <w:t>The supplied 8.371.3x example demonstrates the intended transformation.</w:t>
      </w:r>
    </w:p>
    <w:p>
      <w:pPr>
        <w:pStyle w:val="ListBullet"/>
      </w:pPr>
      <w:r>
        <w:t>Source problem: quantum factoring / hidden-order context.</w:t>
      </w:r>
    </w:p>
    <w:p>
      <w:pPr>
        <w:pStyle w:val="ListBullet"/>
      </w:pPr>
      <w:r>
        <w:t>Underlying mechanism: modular quantum dynamics expose spectral information.</w:t>
      </w:r>
    </w:p>
    <w:p>
      <w:pPr>
        <w:pStyle w:val="ListBullet"/>
      </w:pPr>
      <w:r>
        <w:t>Probe: controlled operator / phase kickback.</w:t>
      </w:r>
    </w:p>
    <w:p>
      <w:pPr>
        <w:pStyle w:val="ListBullet"/>
      </w:pPr>
      <w:r>
        <w:t>Observation: interference and measurement.</w:t>
      </w:r>
    </w:p>
    <w:p>
      <w:pPr>
        <w:pStyle w:val="ListBullet"/>
      </w:pPr>
      <w:r>
        <w:t>Estimation: hidden eigenphase / spectral parameter.</w:t>
      </w:r>
    </w:p>
    <w:p>
      <w:pPr>
        <w:pStyle w:val="ListBullet"/>
      </w:pPr>
      <w:r>
        <w:t>Feedback: choose or refine the next experiment.</w:t>
      </w:r>
    </w:p>
    <w:p>
      <w:pPr>
        <w:pStyle w:val="ListBullet"/>
      </w:pPr>
      <w:r>
        <w:t>Reusable pattern: Probe → Measure → Estimate → Adapt.</w:t>
      </w:r>
    </w:p>
    <w:p>
      <w:pPr>
        <w:pStyle w:val="ListBullet"/>
      </w:pPr>
      <w:r>
        <w:t>Primitive candidate: Adaptive Quantum Spectral Estimation (AQSE).</w:t>
      </w:r>
    </w:p>
    <w:p>
      <w:pPr>
        <w:pStyle w:val="ListBullet"/>
      </w:pPr>
      <w:r>
        <w:t>Factoring is an application consuming the reusable estimation capability.</w:t>
      </w:r>
    </w:p>
    <w:p>
      <w:pPr>
        <w:pStyle w:val="Heading1"/>
      </w:pPr>
      <w:r>
        <w:t>12. QAI Mapping Rules</w:t>
      </w:r>
    </w:p>
    <w:p>
      <w:pPr>
        <w:pStyle w:val="ListBullet"/>
      </w:pPr>
      <w:r>
        <w:t>QAI Language</w:t>
      </w:r>
    </w:p>
    <w:p>
      <w:pPr>
        <w:pStyle w:val="ListBullet"/>
      </w:pPr>
      <w:r>
        <w:t>QAI Primitives</w:t>
      </w:r>
    </w:p>
    <w:p>
      <w:pPr>
        <w:pStyle w:val="ListBullet"/>
      </w:pPr>
      <w:r>
        <w:t>QAI OS</w:t>
      </w:r>
    </w:p>
    <w:p>
      <w:pPr>
        <w:pStyle w:val="ListBullet"/>
      </w:pPr>
      <w:r>
        <w:t>QAI Runtime</w:t>
      </w:r>
    </w:p>
    <w:p>
      <w:pPr>
        <w:pStyle w:val="ListBullet"/>
      </w:pPr>
      <w:r>
        <w:t>Hybrid Runtime</w:t>
      </w:r>
    </w:p>
    <w:p>
      <w:pPr>
        <w:pStyle w:val="ListBullet"/>
      </w:pPr>
      <w:r>
        <w:t>QAI Control Plane</w:t>
      </w:r>
    </w:p>
    <w:p>
      <w:pPr>
        <w:pStyle w:val="ListBullet"/>
      </w:pPr>
      <w:r>
        <w:t>Quantum Control Plane</w:t>
      </w:r>
    </w:p>
    <w:p>
      <w:pPr>
        <w:pStyle w:val="ListBullet"/>
      </w:pPr>
      <w:r>
        <w:t>Adaptive Network Fabric</w:t>
      </w:r>
    </w:p>
    <w:p>
      <w:pPr>
        <w:pStyle w:val="ListBullet"/>
      </w:pPr>
      <w:r>
        <w:t>Resource Registry</w:t>
      </w:r>
    </w:p>
    <w:p>
      <w:pPr>
        <w:pStyle w:val="ListBullet"/>
      </w:pPr>
      <w:r>
        <w:t>Capability Registry</w:t>
      </w:r>
    </w:p>
    <w:p>
      <w:pPr>
        <w:pStyle w:val="ListBullet"/>
      </w:pPr>
      <w:r>
        <w:t>QAI Labs</w:t>
      </w:r>
    </w:p>
    <w:p>
      <w:pPr>
        <w:pStyle w:val="ListBullet"/>
      </w:pPr>
      <w:r>
        <w:t>QAI Product Foundry</w:t>
      </w:r>
    </w:p>
    <w:p>
      <w:pPr>
        <w:pStyle w:val="Heading1"/>
      </w:pPr>
      <w:r>
        <w:t>13. Evidence Classification</w:t>
      </w:r>
    </w:p>
    <w:p>
      <w:pPr>
        <w:pStyle w:val="ListBullet"/>
      </w:pPr>
      <w:r>
        <w:t>Educational knowledge</w:t>
      </w:r>
    </w:p>
    <w:p>
      <w:pPr>
        <w:pStyle w:val="ListBullet"/>
      </w:pPr>
      <w:r>
        <w:t>Research</w:t>
      </w:r>
    </w:p>
    <w:p>
      <w:pPr>
        <w:pStyle w:val="ListBullet"/>
      </w:pPr>
      <w:r>
        <w:t>Mathematical model</w:t>
      </w:r>
    </w:p>
    <w:p>
      <w:pPr>
        <w:pStyle w:val="ListBullet"/>
      </w:pPr>
      <w:r>
        <w:t>Algorithm</w:t>
      </w:r>
    </w:p>
    <w:p>
      <w:pPr>
        <w:pStyle w:val="ListBullet"/>
      </w:pPr>
      <w:r>
        <w:t>Pattern</w:t>
      </w:r>
    </w:p>
    <w:p>
      <w:pPr>
        <w:pStyle w:val="ListBullet"/>
      </w:pPr>
      <w:r>
        <w:t>Prototype</w:t>
      </w:r>
    </w:p>
    <w:p>
      <w:pPr>
        <w:pStyle w:val="ListBullet"/>
      </w:pPr>
      <w:r>
        <w:t>Implementation evidence</w:t>
      </w:r>
    </w:p>
    <w:p>
      <w:pPr>
        <w:pStyle w:val="ListBullet"/>
      </w:pPr>
      <w:r>
        <w:t>Reusable capability</w:t>
      </w:r>
    </w:p>
    <w:p>
      <w:pPr>
        <w:pStyle w:val="ListBullet"/>
      </w:pPr>
      <w:r>
        <w:t>Future capability</w:t>
      </w:r>
    </w:p>
    <w:p>
      <w:r>
        <w:t>Never infer production maturity solely from educational or conceptual material.</w:t>
      </w:r>
    </w:p>
    <w:p>
      <w:pPr>
        <w:pStyle w:val="Heading1"/>
      </w:pPr>
      <w:r>
        <w:t>14. Source / Format Policy</w:t>
      </w:r>
    </w:p>
    <w:p>
      <w:pPr>
        <w:pStyle w:val="ListBullet"/>
      </w:pPr>
      <w:r>
        <w:t>DOCX: detailed module/evidence-package reports, solved-course packages and formal research/design documents.</w:t>
      </w:r>
    </w:p>
    <w:p>
      <w:pPr>
        <w:pStyle w:val="ListBullet"/>
      </w:pPr>
      <w:r>
        <w:t>Markdown: GitHub canonical records, inventories, question summaries, notebook summaries, matrices, patterns and Enterprise Library entries.</w:t>
      </w:r>
    </w:p>
    <w:p>
      <w:pPr>
        <w:pStyle w:val="ListBullet"/>
      </w:pPr>
      <w:r>
        <w:t>IPYNB: executable notebook evidence.</w:t>
      </w:r>
    </w:p>
    <w:p>
      <w:pPr>
        <w:pStyle w:val="ListBullet"/>
      </w:pPr>
      <w:r>
        <w:t>Original PDFs/DOCX/problem sets: preserve as source material where appropriate.</w:t>
      </w:r>
    </w:p>
    <w:p>
      <w:pPr>
        <w:pStyle w:val="Heading1"/>
      </w:pPr>
      <w:r>
        <w:t>15. Avoid Duplication</w:t>
      </w:r>
    </w:p>
    <w:p>
      <w:r>
        <w:t>Do not copy a full primitive specification into every course where the same primitive appears. The course record should identify the candidate and link to the single Enterprise Library source of truth.</w:t>
      </w:r>
    </w:p>
    <w:p>
      <w:r>
        <w:t>Course evidence → Primitive candidate → QAI Enterprise Library canonical entry</w:t>
      </w:r>
    </w:p>
    <w:p>
      <w:pPr>
        <w:pStyle w:val="Heading1"/>
      </w:pPr>
      <w:r>
        <w:t>16. Cross-Course Convergence</w:t>
      </w:r>
    </w:p>
    <w:p>
      <w:pPr>
        <w:pStyle w:val="ListBullet"/>
      </w:pPr>
      <w:r>
        <w:t>Same primitive appearing in multiple courses.</w:t>
      </w:r>
    </w:p>
    <w:p>
      <w:pPr>
        <w:pStyle w:val="ListBullet"/>
      </w:pPr>
      <w:r>
        <w:t>Same mathematical model appearing in different contexts.</w:t>
      </w:r>
    </w:p>
    <w:p>
      <w:pPr>
        <w:pStyle w:val="ListBullet"/>
      </w:pPr>
      <w:r>
        <w:t>Same feedback/control pattern.</w:t>
      </w:r>
    </w:p>
    <w:p>
      <w:pPr>
        <w:pStyle w:val="ListBullet"/>
      </w:pPr>
      <w:r>
        <w:t>Same runtime requirement.</w:t>
      </w:r>
    </w:p>
    <w:p>
      <w:pPr>
        <w:pStyle w:val="ListBullet"/>
      </w:pPr>
      <w:r>
        <w:t>Same QAI architecture capability.</w:t>
      </w:r>
    </w:p>
    <w:p>
      <w:pPr>
        <w:pStyle w:val="ListBullet"/>
      </w:pPr>
      <w:r>
        <w:t>Complementary capabilities that should compose into one enterprise service.</w:t>
      </w:r>
    </w:p>
    <w:p>
      <w:pPr>
        <w:pStyle w:val="Heading1"/>
      </w:pPr>
      <w:r>
        <w:t>17. Validation and Promotion</w:t>
      </w:r>
    </w:p>
    <w:p>
      <w:r>
        <w:t>Lifecycle: Candidate → Pattern → Primitive Specification → Reference Implementation → Validation → Reusable Primitive → Enterprise Library</w:t>
      </w:r>
    </w:p>
    <w:p>
      <w:pPr>
        <w:pStyle w:val="ListBullet"/>
      </w:pPr>
      <w:r>
        <w:t>Validate against additional problems.</w:t>
      </w:r>
    </w:p>
    <w:p>
      <w:pPr>
        <w:pStyle w:val="ListBullet"/>
      </w:pPr>
      <w:r>
        <w:t>Prefer independent examples.</w:t>
      </w:r>
    </w:p>
    <w:p>
      <w:pPr>
        <w:pStyle w:val="ListBullet"/>
      </w:pPr>
      <w:r>
        <w:t>Use simulator validation where appropriate.</w:t>
      </w:r>
    </w:p>
    <w:p>
      <w:pPr>
        <w:pStyle w:val="ListBullet"/>
      </w:pPr>
      <w:r>
        <w:t>Use hardware/QPU validation where appropriate.</w:t>
      </w:r>
    </w:p>
    <w:p>
      <w:pPr>
        <w:pStyle w:val="ListBullet"/>
      </w:pPr>
      <w:r>
        <w:t>Compare across courses.</w:t>
      </w:r>
    </w:p>
    <w:p>
      <w:pPr>
        <w:pStyle w:val="ListBullet"/>
      </w:pPr>
      <w:r>
        <w:t>Document acceptance criteria.</w:t>
      </w:r>
    </w:p>
    <w:p>
      <w:pPr>
        <w:pStyle w:val="ListBullet"/>
      </w:pPr>
      <w:r>
        <w:t>Do not promote a primitive based on one educational example alone.</w:t>
      </w:r>
    </w:p>
    <w:p>
      <w:pPr>
        <w:pStyle w:val="Heading1"/>
      </w:pPr>
      <w:r>
        <w:t>18. Working Instructions for Another Session</w:t>
      </w:r>
    </w:p>
    <w:p>
      <w:pPr>
        <w:pStyle w:val="ListBullet"/>
      </w:pPr>
      <w:r>
        <w:t>Provide the course ID and actual MIT OLL hierarchy being processed.</w:t>
      </w:r>
    </w:p>
    <w:p>
      <w:pPr>
        <w:pStyle w:val="ListBullet"/>
      </w:pPr>
      <w:r>
        <w:t>Provide relevant problem sets, solved questions, notebooks or design documents.</w:t>
      </w:r>
    </w:p>
    <w:p>
      <w:pPr>
        <w:pStyle w:val="ListBullet"/>
      </w:pPr>
      <w:r>
        <w:t>State whether the task is course mapping, module extraction, problem extraction, pattern extraction or primitive extraction.</w:t>
      </w:r>
    </w:p>
    <w:p>
      <w:pPr>
        <w:pStyle w:val="ListBullet"/>
      </w:pPr>
      <w:r>
        <w:t>Use the standard template for the appropriate module/evidence package; do not create a huge monolithic course document.</w:t>
      </w:r>
    </w:p>
    <w:p>
      <w:pPr>
        <w:pStyle w:val="ListBullet"/>
      </w:pPr>
      <w:r>
        <w:t>Preserve original MIT terminology and organization.</w:t>
      </w:r>
    </w:p>
    <w:p>
      <w:pPr>
        <w:pStyle w:val="ListBullet"/>
      </w:pPr>
      <w:r>
        <w:t>Populate only fields supported by supplied evidence.</w:t>
      </w:r>
    </w:p>
    <w:p>
      <w:pPr>
        <w:pStyle w:val="ListBullet"/>
      </w:pPr>
      <w:r>
        <w:t>Mark unavailable/unverified information as pending or not supplied.</w:t>
      </w:r>
    </w:p>
    <w:p>
      <w:pPr>
        <w:pStyle w:val="ListBullet"/>
      </w:pPr>
      <w:r>
        <w:t>Keep QAI interpretation separate from MIT source evidence.</w:t>
      </w:r>
    </w:p>
    <w:p>
      <w:pPr>
        <w:pStyle w:val="ListBullet"/>
      </w:pPr>
      <w:r>
        <w:t>Link recurring patterns to the canonical Enterprise Library entry rather than duplicating specifications.</w:t>
      </w:r>
    </w:p>
    <w:p>
      <w:pPr>
        <w:pStyle w:val="ListBullet"/>
      </w:pPr>
      <w:r>
        <w:t>At completion, update extraction status and identify the next evidence package.</w:t>
      </w:r>
    </w:p>
    <w:p>
      <w:pPr>
        <w:pStyle w:val="Heading1"/>
      </w:pPr>
      <w:r>
        <w:t>19. Completion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Required Result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Course hierarchy</w:t>
            </w:r>
          </w:p>
        </w:tc>
        <w:tc>
          <w:tcPr>
            <w:tcW w:type="dxa" w:w="3312"/>
          </w:tcPr>
          <w:p>
            <w:r>
              <w:t>Faithfully represented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Problem sets</w:t>
            </w:r>
          </w:p>
        </w:tc>
        <w:tc>
          <w:tcPr>
            <w:tcW w:type="dxa" w:w="3312"/>
          </w:tcPr>
          <w:p>
            <w:r>
              <w:t>Inventoried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Solved questions</w:t>
            </w:r>
          </w:p>
        </w:tc>
        <w:tc>
          <w:tcPr>
            <w:tcW w:type="dxa" w:w="3312"/>
          </w:tcPr>
          <w:p>
            <w:r>
              <w:t>Captured where available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Notebooks</w:t>
            </w:r>
          </w:p>
        </w:tc>
        <w:tc>
          <w:tcPr>
            <w:tcW w:type="dxa" w:w="3312"/>
          </w:tcPr>
          <w:p>
            <w:r>
              <w:t>Inventoried and summarized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Algorithms/models</w:t>
            </w:r>
          </w:p>
        </w:tc>
        <w:tc>
          <w:tcPr>
            <w:tcW w:type="dxa" w:w="3312"/>
          </w:tcPr>
          <w:p>
            <w:r>
              <w:t>Evidence-based extraction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Patterns</w:t>
            </w:r>
          </w:p>
        </w:tc>
        <w:tc>
          <w:tcPr>
            <w:tcW w:type="dxa" w:w="3312"/>
          </w:tcPr>
          <w:p>
            <w:r>
              <w:t>Recurring patterns identified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Primitive candidates</w:t>
            </w:r>
          </w:p>
        </w:tc>
        <w:tc>
          <w:tcPr>
            <w:tcW w:type="dxa" w:w="3312"/>
          </w:tcPr>
          <w:p>
            <w:r>
              <w:t>Separated from production claims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QAI mapping</w:t>
            </w:r>
          </w:p>
        </w:tc>
        <w:tc>
          <w:tcPr>
            <w:tcW w:type="dxa" w:w="3312"/>
          </w:tcPr>
          <w:p>
            <w:r>
              <w:t>Architecture relationships recorded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Cross-course mapping</w:t>
            </w:r>
          </w:p>
        </w:tc>
        <w:tc>
          <w:tcPr>
            <w:tcW w:type="dxa" w:w="3312"/>
          </w:tcPr>
          <w:p>
            <w:r>
              <w:t>Performed after individual extraction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Defined for important candidates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Final summary</w:t>
            </w:r>
          </w:p>
        </w:tc>
        <w:tc>
          <w:tcPr>
            <w:tcW w:type="dxa" w:w="3312"/>
          </w:tcPr>
          <w:p>
            <w:r>
              <w:t>Course-level summary updated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</w:tbl>
    <w:p>
      <w:pPr>
        <w:pStyle w:val="Heading1"/>
      </w:pPr>
      <w:r>
        <w:t>20. Master Working Rule</w:t>
      </w:r>
    </w:p>
    <w:p>
      <w:r>
        <w:rPr>
          <w:b/>
        </w:rPr>
        <w:t>PRESERVE → EXTRACT → ANALYZE → GENERALIZE → VALIDATE → MAP → PROMOTE</w:t>
      </w:r>
    </w:p>
    <w:p>
      <w:r>
        <w:t>The objective is not simply to archive the MIT courses. It is to preserve high-quality educational evidence while systematically converting validated recurring knowledge into reusable QAI primitives, algorithms, runtimes, control capabilities and Enterprise Library assets.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MIT OLL → Evidence → Pattern → Primitive → Validation → QAI Enterprise Library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