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6987"/>
          <w:sz w:val="26"/>
        </w:rPr>
        <w:t>GENERAL FACTORY</w:t>
      </w:r>
    </w:p>
    <w:p>
      <w:pPr>
        <w:pStyle w:val="Title"/>
        <w:jc w:val="center"/>
      </w:pPr>
      <w:r>
        <w:t>QAI Reference Integration</w:t>
        <w:br/>
        <w:t>Findings &amp; Next Steps</w:t>
      </w:r>
    </w:p>
    <w:p>
      <w:pPr>
        <w:jc w:val="center"/>
      </w:pPr>
      <w:r>
        <w:rPr>
          <w:b/>
          <w:color w:val="505F6E"/>
          <w:sz w:val="30"/>
        </w:rPr>
        <w:t>VS Code Development Reference</w:t>
      </w:r>
    </w:p>
    <w:p/>
    <w:p>
      <w:pPr>
        <w:jc w:val="center"/>
      </w:pPr>
      <w:r>
        <w:rPr>
          <w:sz w:val="20"/>
        </w:rPr>
        <w:t>Prepared from the supplied repository documentation and code excerpts</w:t>
        <w:br/>
      </w:r>
      <w:r>
        <w:rPr>
          <w:sz w:val="18"/>
        </w:rPr>
        <w:t>Review status: Read-only • No repository code executed or modified</w:t>
      </w:r>
    </w:p>
    <w:p>
      <w:r>
        <w:br w:type="page"/>
      </w:r>
    </w:p>
    <w:p>
      <w:pPr>
        <w:pStyle w:val="Heading1"/>
      </w:pPr>
      <w:r>
        <w:t>1. Executive Summary</w:t>
      </w:r>
    </w:p>
    <w:p>
      <w:r>
        <w:t>This document consolidates the architecture and code findings from the General Factory post-pilot workspace, the FAEP client SDK, the earlier pipeline notebook, and the local three-qubit simulation experiment. The purpose is to guide the next controlled VS Code development steps for registering and invoking an existing research implementation through General Factory without copying its algorithm into Factory Core.</w:t>
      </w:r>
    </w:p>
    <w:p>
      <w:r>
        <w:t>Recommended direction: treat the three-qubit stability experiment as a candidate local reference implementation; define a versioned contract and validation envelope around it; inspect existing engine/resolver code elsewhere before adding components; then implement a small, deterministic, local-only integration slice with dry-run resolution and structured evidence.</w:t>
      </w:r>
    </w:p>
    <w:p>
      <w:pPr>
        <w:pStyle w:val="ListBullet"/>
        <w:spacing w:after="40"/>
      </w:pPr>
      <w:r>
        <w:t>The Bootstrapper MVP currently generates a deployment structure but uses hard-coded deployment/profile/package selections.</w:t>
      </w:r>
    </w:p>
    <w:p>
      <w:pPr>
        <w:pStyle w:val="ListBullet"/>
        <w:spacing w:after="40"/>
      </w:pPr>
      <w:r>
        <w:t>The Bootstrapper resolvers folder was reported empty. This does not establish that no resolution code exists elsewhere in the repository.</w:t>
      </w:r>
    </w:p>
    <w:p>
      <w:pPr>
        <w:pStyle w:val="ListBullet"/>
        <w:spacing w:after="40"/>
      </w:pPr>
      <w:r>
        <w:t>The Factory runtime binding registry file has an empty bindings array; its schema describes fields but is not itself a resolver.</w:t>
      </w:r>
    </w:p>
    <w:p>
      <w:pPr>
        <w:pStyle w:val="ListBullet"/>
        <w:spacing w:after="40"/>
      </w:pPr>
      <w:r>
        <w:t>The FAEP SDK methods shown return predefined dictionaries; the supplied client.py does not show remote pipeline invocation.</w:t>
      </w:r>
    </w:p>
    <w:p>
      <w:pPr>
        <w:pStyle w:val="ListBullet"/>
        <w:spacing w:after="40"/>
      </w:pPr>
      <w:r>
        <w:t>The QAI demo wrapper calls a local research demo. The stability experiment is more substantive than the print-only demo, but its scientific model and numerical invariants still need validation.</w:t>
      </w:r>
    </w:p>
    <w:p>
      <w:pPr>
        <w:pStyle w:val="ListBullet"/>
        <w:spacing w:after="40"/>
      </w:pPr>
      <w:r>
        <w:t>All observations are based on supplied source excerpts and documentation; no files were changed and no code was executed.</w:t>
      </w:r>
    </w:p>
    <w:p>
      <w:pPr>
        <w:pStyle w:val="Heading1"/>
      </w:pPr>
      <w:r>
        <w:t>2. Scope and Architectural Boundaries</w:t>
      </w:r>
    </w:p>
    <w:p>
      <w:r>
        <w:t>The reviewed documentation consistently separates logical Framework definitions from Factory-side implementation and execution. Preserve those boundaries when integrating the research experiment.</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94164"/>
          </w:tcPr>
          <w:p>
            <w:pPr>
              <w:spacing w:after="20"/>
            </w:pPr>
            <w:r/>
            <w:r>
              <w:rPr>
                <w:rFonts w:ascii="Aptos" w:hAnsi="Aptos"/>
                <w:b/>
                <w:color w:val="FFFFFF"/>
                <w:sz w:val="17"/>
              </w:rPr>
              <w:t>Layer / artifact</w:t>
            </w:r>
          </w:p>
        </w:tc>
        <w:tc>
          <w:tcPr>
            <w:tcW w:type="dxa" w:w="3960"/>
            <w:vAlign w:val="center"/>
            <w:shd w:fill="194164"/>
          </w:tcPr>
          <w:p>
            <w:pPr>
              <w:spacing w:after="20"/>
            </w:pPr>
            <w:r/>
            <w:r>
              <w:rPr>
                <w:rFonts w:ascii="Aptos" w:hAnsi="Aptos"/>
                <w:b/>
                <w:color w:val="FFFFFF"/>
                <w:sz w:val="17"/>
              </w:rPr>
              <w:t>Role in the intended architecture</w:t>
            </w:r>
          </w:p>
        </w:tc>
        <w:tc>
          <w:tcPr>
            <w:tcW w:type="dxa" w:w="4032"/>
            <w:vAlign w:val="center"/>
            <w:shd w:fill="194164"/>
          </w:tcPr>
          <w:p>
            <w:pPr>
              <w:spacing w:after="20"/>
            </w:pPr>
            <w:r/>
            <w:r>
              <w:rPr>
                <w:rFonts w:ascii="Aptos" w:hAnsi="Aptos"/>
                <w:b/>
                <w:color w:val="FFFFFF"/>
                <w:sz w:val="17"/>
              </w:rPr>
              <w:t>Current evidence / caution</w:t>
            </w:r>
          </w:p>
        </w:tc>
      </w:tr>
      <w:tr>
        <w:tc>
          <w:tcPr>
            <w:tcW w:type="dxa" w:w="2376"/>
            <w:vAlign w:val="center"/>
          </w:tcPr>
          <w:p>
            <w:pPr>
              <w:spacing w:after="20"/>
            </w:pPr>
            <w:r/>
            <w:r>
              <w:rPr>
                <w:rFonts w:ascii="Aptos" w:hAnsi="Aptos"/>
                <w:b w:val="0"/>
                <w:sz w:val="16"/>
              </w:rPr>
              <w:t>General Framework / Framework Runtime</w:t>
            </w:r>
          </w:p>
        </w:tc>
        <w:tc>
          <w:tcPr>
            <w:tcW w:type="dxa" w:w="3960"/>
            <w:vAlign w:val="center"/>
          </w:tcPr>
          <w:p>
            <w:pPr>
              <w:spacing w:after="20"/>
            </w:pPr>
            <w:r/>
            <w:r>
              <w:rPr>
                <w:rFonts w:ascii="Aptos" w:hAnsi="Aptos"/>
                <w:b w:val="0"/>
                <w:sz w:val="16"/>
              </w:rPr>
              <w:t>Defines logical capabilities, contracts, policies and resolves logical definitions.</w:t>
            </w:r>
          </w:p>
        </w:tc>
        <w:tc>
          <w:tcPr>
            <w:tcW w:type="dxa" w:w="4032"/>
            <w:vAlign w:val="center"/>
          </w:tcPr>
          <w:p>
            <w:pPr>
              <w:spacing w:after="20"/>
            </w:pPr>
            <w:r/>
            <w:r>
              <w:rPr>
                <w:rFonts w:ascii="Aptos" w:hAnsi="Aptos"/>
                <w:b w:val="0"/>
                <w:sz w:val="16"/>
              </w:rPr>
              <w:t>README describes intended boundary; executable resolver behavior has not been established.</w:t>
            </w:r>
          </w:p>
        </w:tc>
      </w:tr>
      <w:tr>
        <w:tc>
          <w:tcPr>
            <w:tcW w:type="dxa" w:w="2376"/>
            <w:vAlign w:val="center"/>
            <w:shd w:fill="F1F5F8"/>
          </w:tcPr>
          <w:p>
            <w:pPr>
              <w:spacing w:after="20"/>
            </w:pPr>
            <w:r/>
            <w:r>
              <w:rPr>
                <w:rFonts w:ascii="Aptos" w:hAnsi="Aptos"/>
                <w:b w:val="0"/>
                <w:sz w:val="16"/>
              </w:rPr>
              <w:t>Factory Registry / runtime_bindings.json</w:t>
            </w:r>
          </w:p>
        </w:tc>
        <w:tc>
          <w:tcPr>
            <w:tcW w:type="dxa" w:w="3960"/>
            <w:vAlign w:val="center"/>
            <w:shd w:fill="F1F5F8"/>
          </w:tcPr>
          <w:p>
            <w:pPr>
              <w:spacing w:after="20"/>
            </w:pPr>
            <w:r/>
            <w:r>
              <w:rPr>
                <w:rFonts w:ascii="Aptos" w:hAnsi="Aptos"/>
                <w:b w:val="0"/>
                <w:sz w:val="16"/>
              </w:rPr>
              <w:t>Maps logical capability/interface identities to implementation bindings.</w:t>
            </w:r>
          </w:p>
        </w:tc>
        <w:tc>
          <w:tcPr>
            <w:tcW w:type="dxa" w:w="4032"/>
            <w:vAlign w:val="center"/>
            <w:shd w:fill="F1F5F8"/>
          </w:tcPr>
          <w:p>
            <w:pPr>
              <w:spacing w:after="20"/>
            </w:pPr>
            <w:r/>
            <w:r>
              <w:rPr>
                <w:rFonts w:ascii="Aptos" w:hAnsi="Aptos"/>
                <w:b w:val="0"/>
                <w:sz w:val="16"/>
              </w:rPr>
              <w:t>Supplied bindings array is empty; schema is descriptive.</w:t>
            </w:r>
          </w:p>
        </w:tc>
      </w:tr>
      <w:tr>
        <w:tc>
          <w:tcPr>
            <w:tcW w:type="dxa" w:w="2376"/>
            <w:vAlign w:val="center"/>
          </w:tcPr>
          <w:p>
            <w:pPr>
              <w:spacing w:after="20"/>
            </w:pPr>
            <w:r/>
            <w:r>
              <w:rPr>
                <w:rFonts w:ascii="Aptos" w:hAnsi="Aptos"/>
                <w:b w:val="0"/>
                <w:sz w:val="16"/>
              </w:rPr>
              <w:t>Factory Core</w:t>
            </w:r>
          </w:p>
        </w:tc>
        <w:tc>
          <w:tcPr>
            <w:tcW w:type="dxa" w:w="3960"/>
            <w:vAlign w:val="center"/>
          </w:tcPr>
          <w:p>
            <w:pPr>
              <w:spacing w:after="20"/>
            </w:pPr>
            <w:r/>
            <w:r>
              <w:rPr>
                <w:rFonts w:ascii="Aptos" w:hAnsi="Aptos"/>
                <w:b w:val="0"/>
                <w:sz w:val="16"/>
              </w:rPr>
              <w:t>Common lifecycle, orchestration, scheduling, execution, observability and evidence services.</w:t>
            </w:r>
          </w:p>
        </w:tc>
        <w:tc>
          <w:tcPr>
            <w:tcW w:type="dxa" w:w="4032"/>
            <w:vAlign w:val="center"/>
          </w:tcPr>
          <w:p>
            <w:pPr>
              <w:spacing w:after="20"/>
            </w:pPr>
            <w:r/>
            <w:r>
              <w:rPr>
                <w:rFonts w:ascii="Aptos" w:hAnsi="Aptos"/>
                <w:b w:val="0"/>
                <w:sz w:val="16"/>
              </w:rPr>
              <w:t>README describes intended responsibilities; do not assume every service is implemented.</w:t>
            </w:r>
          </w:p>
        </w:tc>
      </w:tr>
      <w:tr>
        <w:tc>
          <w:tcPr>
            <w:tcW w:type="dxa" w:w="2376"/>
            <w:vAlign w:val="center"/>
            <w:shd w:fill="F1F5F8"/>
          </w:tcPr>
          <w:p>
            <w:pPr>
              <w:spacing w:after="20"/>
            </w:pPr>
            <w:r/>
            <w:r>
              <w:rPr>
                <w:rFonts w:ascii="Aptos" w:hAnsi="Aptos"/>
                <w:b w:val="0"/>
                <w:sz w:val="16"/>
              </w:rPr>
              <w:t>Connector</w:t>
            </w:r>
          </w:p>
        </w:tc>
        <w:tc>
          <w:tcPr>
            <w:tcW w:type="dxa" w:w="3960"/>
            <w:vAlign w:val="center"/>
            <w:shd w:fill="F1F5F8"/>
          </w:tcPr>
          <w:p>
            <w:pPr>
              <w:spacing w:after="20"/>
            </w:pPr>
            <w:r/>
            <w:r>
              <w:rPr>
                <w:rFonts w:ascii="Aptos" w:hAnsi="Aptos"/>
                <w:b w:val="0"/>
                <w:sz w:val="16"/>
              </w:rPr>
              <w:t>Provides access/invocation to a target system or implementation.</w:t>
            </w:r>
          </w:p>
        </w:tc>
        <w:tc>
          <w:tcPr>
            <w:tcW w:type="dxa" w:w="4032"/>
            <w:vAlign w:val="center"/>
            <w:shd w:fill="F1F5F8"/>
          </w:tcPr>
          <w:p>
            <w:pPr>
              <w:spacing w:after="20"/>
            </w:pPr>
            <w:r/>
            <w:r>
              <w:rPr>
                <w:rFonts w:ascii="Aptos" w:hAnsi="Aptos"/>
                <w:b w:val="0"/>
                <w:sz w:val="16"/>
              </w:rPr>
              <w:t>Keep separate from interface translation and business logic.</w:t>
            </w:r>
          </w:p>
        </w:tc>
      </w:tr>
      <w:tr>
        <w:tc>
          <w:tcPr>
            <w:tcW w:type="dxa" w:w="2376"/>
            <w:vAlign w:val="center"/>
          </w:tcPr>
          <w:p>
            <w:pPr>
              <w:spacing w:after="20"/>
            </w:pPr>
            <w:r/>
            <w:r>
              <w:rPr>
                <w:rFonts w:ascii="Aptos" w:hAnsi="Aptos"/>
                <w:b w:val="0"/>
                <w:sz w:val="16"/>
              </w:rPr>
              <w:t>Adapter / runtime interface</w:t>
            </w:r>
          </w:p>
        </w:tc>
        <w:tc>
          <w:tcPr>
            <w:tcW w:type="dxa" w:w="3960"/>
            <w:vAlign w:val="center"/>
          </w:tcPr>
          <w:p>
            <w:pPr>
              <w:spacing w:after="20"/>
            </w:pPr>
            <w:r/>
            <w:r>
              <w:rPr>
                <w:rFonts w:ascii="Aptos" w:hAnsi="Aptos"/>
                <w:b w:val="0"/>
                <w:sz w:val="16"/>
              </w:rPr>
              <w:t>Translates/realizes the Factory-facing contract when needed.</w:t>
            </w:r>
          </w:p>
        </w:tc>
        <w:tc>
          <w:tcPr>
            <w:tcW w:type="dxa" w:w="4032"/>
            <w:vAlign w:val="center"/>
          </w:tcPr>
          <w:p>
            <w:pPr>
              <w:spacing w:after="20"/>
            </w:pPr>
            <w:r/>
            <w:r>
              <w:rPr>
                <w:rFonts w:ascii="Aptos" w:hAnsi="Aptos"/>
                <w:b w:val="0"/>
                <w:sz w:val="16"/>
              </w:rPr>
              <w:t>Only add translation if existing interface is incompatible.</w:t>
            </w:r>
          </w:p>
        </w:tc>
      </w:tr>
      <w:tr>
        <w:tc>
          <w:tcPr>
            <w:tcW w:type="dxa" w:w="2376"/>
            <w:vAlign w:val="center"/>
            <w:shd w:fill="F1F5F8"/>
          </w:tcPr>
          <w:p>
            <w:pPr>
              <w:spacing w:after="20"/>
            </w:pPr>
            <w:r/>
            <w:r>
              <w:rPr>
                <w:rFonts w:ascii="Aptos" w:hAnsi="Aptos"/>
                <w:b w:val="0"/>
                <w:sz w:val="16"/>
              </w:rPr>
              <w:t>Asset Runtime</w:t>
            </w:r>
          </w:p>
        </w:tc>
        <w:tc>
          <w:tcPr>
            <w:tcW w:type="dxa" w:w="3960"/>
            <w:vAlign w:val="center"/>
            <w:shd w:fill="F1F5F8"/>
          </w:tcPr>
          <w:p>
            <w:pPr>
              <w:spacing w:after="20"/>
            </w:pPr>
            <w:r/>
            <w:r>
              <w:rPr>
                <w:rFonts w:ascii="Aptos" w:hAnsi="Aptos"/>
                <w:b w:val="0"/>
                <w:sz w:val="16"/>
              </w:rPr>
              <w:t>Manages executable virtual asset instances and their lifecycle/state.</w:t>
            </w:r>
          </w:p>
        </w:tc>
        <w:tc>
          <w:tcPr>
            <w:tcW w:type="dxa" w:w="4032"/>
            <w:vAlign w:val="center"/>
            <w:shd w:fill="F1F5F8"/>
          </w:tcPr>
          <w:p>
            <w:pPr>
              <w:spacing w:after="20"/>
            </w:pPr>
            <w:r/>
            <w:r>
              <w:rPr>
                <w:rFonts w:ascii="Aptos" w:hAnsi="Aptos"/>
                <w:b w:val="0"/>
                <w:sz w:val="16"/>
              </w:rPr>
              <w:t>Distinct from logical asset definition and experiment lifecycle.</w:t>
            </w:r>
          </w:p>
        </w:tc>
      </w:tr>
      <w:tr>
        <w:tc>
          <w:tcPr>
            <w:tcW w:type="dxa" w:w="2376"/>
            <w:vAlign w:val="center"/>
          </w:tcPr>
          <w:p>
            <w:pPr>
              <w:spacing w:after="20"/>
            </w:pPr>
            <w:r/>
            <w:r>
              <w:rPr>
                <w:rFonts w:ascii="Aptos" w:hAnsi="Aptos"/>
                <w:b w:val="0"/>
                <w:sz w:val="16"/>
              </w:rPr>
              <w:t>Bootstrapper</w:t>
            </w:r>
          </w:p>
        </w:tc>
        <w:tc>
          <w:tcPr>
            <w:tcW w:type="dxa" w:w="3960"/>
            <w:vAlign w:val="center"/>
          </w:tcPr>
          <w:p>
            <w:pPr>
              <w:spacing w:after="20"/>
            </w:pPr>
            <w:r/>
            <w:r>
              <w:rPr>
                <w:rFonts w:ascii="Aptos" w:hAnsi="Aptos"/>
                <w:b w:val="0"/>
                <w:sz w:val="16"/>
              </w:rPr>
              <w:t>Composes configuration, profiles, packages and deployment artifacts.</w:t>
            </w:r>
          </w:p>
        </w:tc>
        <w:tc>
          <w:tcPr>
            <w:tcW w:type="dxa" w:w="4032"/>
            <w:vAlign w:val="center"/>
          </w:tcPr>
          <w:p>
            <w:pPr>
              <w:spacing w:after="20"/>
            </w:pPr>
            <w:r/>
            <w:r>
              <w:rPr>
                <w:rFonts w:ascii="Aptos" w:hAnsi="Aptos"/>
                <w:b w:val="0"/>
                <w:sz w:val="16"/>
              </w:rPr>
              <w:t>Current supplied PowerShell script is hard-coded for one demo deployment.</w:t>
            </w:r>
          </w:p>
        </w:tc>
      </w:tr>
      <w:tr>
        <w:tc>
          <w:tcPr>
            <w:tcW w:type="dxa" w:w="2376"/>
            <w:vAlign w:val="center"/>
            <w:shd w:fill="F1F5F8"/>
          </w:tcPr>
          <w:p>
            <w:pPr>
              <w:spacing w:after="20"/>
            </w:pPr>
            <w:r/>
            <w:r>
              <w:rPr>
                <w:rFonts w:ascii="Aptos" w:hAnsi="Aptos"/>
                <w:b w:val="0"/>
                <w:sz w:val="16"/>
              </w:rPr>
              <w:t>Reference implementation</w:t>
            </w:r>
          </w:p>
        </w:tc>
        <w:tc>
          <w:tcPr>
            <w:tcW w:type="dxa" w:w="3960"/>
            <w:vAlign w:val="center"/>
            <w:shd w:fill="F1F5F8"/>
          </w:tcPr>
          <w:p>
            <w:pPr>
              <w:spacing w:after="20"/>
            </w:pPr>
            <w:r/>
            <w:r>
              <w:rPr>
                <w:rFonts w:ascii="Aptos" w:hAnsi="Aptos"/>
                <w:b w:val="0"/>
                <w:sz w:val="16"/>
              </w:rPr>
              <w:t>Existing target implementation that Factory resolves and invokes.</w:t>
            </w:r>
          </w:p>
        </w:tc>
        <w:tc>
          <w:tcPr>
            <w:tcW w:type="dxa" w:w="4032"/>
            <w:vAlign w:val="center"/>
            <w:shd w:fill="F1F5F8"/>
          </w:tcPr>
          <w:p>
            <w:pPr>
              <w:spacing w:after="20"/>
            </w:pPr>
            <w:r/>
            <w:r>
              <w:rPr>
                <w:rFonts w:ascii="Aptos" w:hAnsi="Aptos"/>
                <w:b w:val="0"/>
                <w:sz w:val="16"/>
              </w:rPr>
              <w:t>Keep source in its existing repository; register references rather than duplicating code.</w:t>
            </w:r>
          </w:p>
        </w:tc>
      </w:tr>
    </w:tbl>
    <w:p/>
    <w:p>
      <w:pPr>
        <w:pStyle w:val="Heading2"/>
      </w:pPr>
      <w:r>
        <w:t>2.1 Intended integration pattern</w:t>
      </w:r>
    </w:p>
    <w:p>
      <w:pPr>
        <w:spacing w:before="40" w:after="120"/>
        <w:ind w:left="259" w:right="144"/>
        <w:shd w:fill="F2F5F7"/>
      </w:pPr>
      <w:r>
        <w:rPr>
          <w:rFonts w:ascii="Consolas" w:hAnsi="Consolas"/>
          <w:color w:val="2D4150"/>
          <w:sz w:val="16"/>
        </w:rPr>
        <w:t>Framework capability + contract</w:t>
      </w:r>
      <w:r>
        <w:br/>
      </w:r>
      <w:r>
        <w:rPr>
          <w:rFonts w:ascii="Consolas" w:hAnsi="Consolas"/>
          <w:color w:val="2D4150"/>
          <w:sz w:val="16"/>
        </w:rPr>
        <w:t xml:space="preserve">        ↓</w:t>
      </w:r>
      <w:r>
        <w:br/>
      </w:r>
      <w:r>
        <w:rPr>
          <w:rFonts w:ascii="Consolas" w:hAnsi="Consolas"/>
          <w:color w:val="2D4150"/>
          <w:sz w:val="16"/>
        </w:rPr>
        <w:t>Framework resolution (logical definition)</w:t>
      </w:r>
      <w:r>
        <w:br/>
      </w:r>
      <w:r>
        <w:rPr>
          <w:rFonts w:ascii="Consolas" w:hAnsi="Consolas"/>
          <w:color w:val="2D4150"/>
          <w:sz w:val="16"/>
        </w:rPr>
        <w:t xml:space="preserve">        ↓</w:t>
      </w:r>
      <w:r>
        <w:br/>
      </w:r>
      <w:r>
        <w:rPr>
          <w:rFonts w:ascii="Consolas" w:hAnsi="Consolas"/>
          <w:color w:val="2D4150"/>
          <w:sz w:val="16"/>
        </w:rPr>
        <w:t>Factory Registry → implementation binding</w:t>
      </w:r>
      <w:r>
        <w:br/>
      </w:r>
      <w:r>
        <w:rPr>
          <w:rFonts w:ascii="Consolas" w:hAnsi="Consolas"/>
          <w:color w:val="2D4150"/>
          <w:sz w:val="16"/>
        </w:rPr>
        <w:t xml:space="preserve">        ↓</w:t>
      </w:r>
      <w:r>
        <w:br/>
      </w:r>
      <w:r>
        <w:rPr>
          <w:rFonts w:ascii="Consolas" w:hAnsi="Consolas"/>
          <w:color w:val="2D4150"/>
          <w:sz w:val="16"/>
        </w:rPr>
        <w:t>Dry-run validation → connector / adapter if required</w:t>
      </w:r>
      <w:r>
        <w:br/>
      </w:r>
      <w:r>
        <w:rPr>
          <w:rFonts w:ascii="Consolas" w:hAnsi="Consolas"/>
          <w:color w:val="2D4150"/>
          <w:sz w:val="16"/>
        </w:rPr>
        <w:t xml:space="preserve">        ↓</w:t>
      </w:r>
      <w:r>
        <w:br/>
      </w:r>
      <w:r>
        <w:rPr>
          <w:rFonts w:ascii="Consolas" w:hAnsi="Consolas"/>
          <w:color w:val="2D4150"/>
          <w:sz w:val="16"/>
        </w:rPr>
        <w:t>Existing local implementation</w:t>
      </w:r>
      <w:r>
        <w:br/>
      </w:r>
      <w:r>
        <w:rPr>
          <w:rFonts w:ascii="Consolas" w:hAnsi="Consolas"/>
          <w:color w:val="2D4150"/>
          <w:sz w:val="16"/>
        </w:rPr>
        <w:t xml:space="preserve">        ↓</w:t>
      </w:r>
      <w:r>
        <w:br/>
      </w:r>
      <w:r>
        <w:rPr>
          <w:rFonts w:ascii="Consolas" w:hAnsi="Consolas"/>
          <w:color w:val="2D4150"/>
          <w:sz w:val="16"/>
        </w:rPr>
        <w:t>Structured result → validation → evidence / provenance</w:t>
      </w:r>
    </w:p>
    <w:p>
      <w:r>
        <w:t>A dry run must validate resolution and configuration without invoking the experiment. Registration is not execution authorization, and an implementation status of 'success' must not be inferred solely from a static example response.</w:t>
      </w:r>
    </w:p>
    <w:p>
      <w:pPr>
        <w:pStyle w:val="Heading1"/>
      </w:pPr>
      <w:r>
        <w:t>3. Reviewed Assets and Findings</w:t>
      </w:r>
    </w:p>
    <w:p>
      <w:pPr>
        <w:pStyle w:val="Heading2"/>
      </w:pPr>
      <w:r>
        <w:t>3.1 General Factory registry and Bootstrapper</w:t>
      </w:r>
    </w:p>
    <w:p>
      <w:pPr>
        <w:pStyle w:val="ListBullet"/>
        <w:spacing w:after="40"/>
      </w:pPr>
      <w:r>
        <w:t>registry/runtime_bindings.json: registry name factory_runtime_bindings, version 0.1.0, bindings currently empty. Schema includes binding ID, Framework capability/interface IDs, implementation ID/type/version, provider/technology, runtime/backend, resource requirements, configuration reference, environment, execution mode, status, compatibility, dependencies, evidence and provenance.</w:t>
      </w:r>
    </w:p>
    <w:p>
      <w:pPr>
        <w:pStyle w:val="ListBullet"/>
        <w:spacing w:after="40"/>
      </w:pPr>
      <w:r>
        <w:t>integration_slice_0.md: defines a narrow proof from Framework contract through Factory binding and connector/adapter (when needed) to existing implementation, result and evidence; requires no source copying.</w:t>
      </w:r>
    </w:p>
    <w:p>
      <w:pPr>
        <w:pStyle w:val="ListBullet"/>
        <w:spacing w:after="40"/>
      </w:pPr>
      <w:r>
        <w:t>post_pilot_assets README: proposes registry-driven Bootstrapper evolution and separates Framework semantic authority from Factory implementation/execution authority.</w:t>
      </w:r>
    </w:p>
    <w:p>
      <w:pPr>
        <w:pStyle w:val="ListBullet"/>
        <w:spacing w:after="40"/>
      </w:pPr>
      <w:r>
        <w:t>bootstrapper/resolvers folder: reported empty by user. Inspect bootstrapper/engine and other repository code before creating resolver modules.</w:t>
      </w:r>
    </w:p>
    <w:p>
      <w:pPr>
        <w:pStyle w:val="ListBullet"/>
        <w:spacing w:after="40"/>
      </w:pPr>
      <w:r>
        <w:t>Invoke-GeneralFactoryBootstrapper.ps1: uses a simplistic line-based YAML getter and hard-codes deployment ID/name, industry, problem, profile and package selection. It checks package/profile file existence and generates a demo deployment layout, but does not demonstrate registry-driven compatibility resolution.</w:t>
      </w:r>
    </w:p>
    <w:p>
      <w:pPr>
        <w:pStyle w:val="ListBullet"/>
        <w:spacing w:after="40"/>
      </w:pPr>
      <w:r>
        <w:t>bootstrap.yaml: requests agriculture / digital-farm-optimization, virtual-development, core package qai_platform and add-ons software_engineering and systems_engineering; requests CPU and disables GPU/HPC/QPU.</w:t>
      </w:r>
    </w:p>
    <w:p>
      <w:pPr>
        <w:pStyle w:val="ListBullet"/>
        <w:spacing w:after="40"/>
      </w:pPr>
      <w:r>
        <w:t>virtual-development.yaml: virtual realization, CPU enabled, GPU/HPC/QPU disabled; simulation and emulation enabled; physical execution disabled. These are configuration settings, not proof that resources are provisioned.</w:t>
      </w:r>
    </w:p>
    <w:p>
      <w:pPr>
        <w:pStyle w:val="ListBullet"/>
        <w:spacing w:after="40"/>
      </w:pPr>
      <w:r>
        <w:t>Package YAMLs: QAI Platform declares experimentation, virtual CPS, simulation and workflow execution and supported realizations virtual/simulation/emulation. Software Engineering and Systems Engineering declare capabilities but do not specify realization, dependencies, resources or entry points. Missing metadata must not be treated as universal compatibility.</w:t>
      </w:r>
    </w:p>
    <w:p>
      <w:pPr>
        <w:pStyle w:val="ListBullet"/>
        <w:spacing w:after="40"/>
      </w:pPr>
      <w:r>
        <w:t>Client README: recommends reuse before customization, configuration before custom code, connector/adapter boundaries, logical resource requirements, client governance/evidence, and promoting repeatable client requirements into common capabilities.</w:t>
      </w:r>
    </w:p>
    <w:p>
      <w:pPr>
        <w:pStyle w:val="Heading2"/>
      </w:pPr>
      <w:r>
        <w:t>3.2 FAEP client SDK and notebook</w:t>
      </w:r>
    </w:p>
    <w:p>
      <w:pPr>
        <w:pStyle w:val="ListBullet"/>
        <w:spacing w:after="40"/>
      </w:pPr>
      <w:r>
        <w:t>04_faep_pipeline_demo.ipynb: demonstrates a notebook-side request/report pattern and sketches future pipeline/artifact handling. The supplied cells create a JSON request and local demonstration report.</w:t>
      </w:r>
    </w:p>
    <w:p>
      <w:pPr>
        <w:pStyle w:val="ListBullet"/>
        <w:spacing w:after="40"/>
      </w:pPr>
      <w:r>
        <w:t>faep/client.py: FAEPClient version 0.1.0; qaiaas(), qagiaas(), qasiaas() return self; methods return predefined dictionaries. No remote transport, authentication, pipeline trigger or algorithm execution is shown in this file.</w:t>
      </w:r>
    </w:p>
    <w:p>
      <w:pPr>
        <w:pStyle w:val="ListBullet"/>
        <w:spacing w:after="40"/>
      </w:pPr>
      <w:r>
        <w:t>faep/__init__.py only exports FAEPClient from .client.</w:t>
      </w:r>
    </w:p>
    <w:p>
      <w:pPr>
        <w:pStyle w:val="ListBullet"/>
        <w:spacing w:after="40"/>
      </w:pPr>
      <w:r>
        <w:t>The notebook's service-call outputs do not establish whether another backend exists or whether results were simulated; inspect other project files before making stronger claims.</w:t>
      </w:r>
    </w:p>
    <w:p>
      <w:pPr>
        <w:pStyle w:val="Heading2"/>
      </w:pPr>
      <w:r>
        <w:t>3.3 Local QAI demo entry point</w:t>
      </w:r>
    </w:p>
    <w:p>
      <w:pPr>
        <w:pStyle w:val="ListBullet"/>
        <w:spacing w:after="40"/>
      </w:pPr>
      <w:r>
        <w:t>run_qai_demo.py adds two repository-relative source paths, imports qai_quantum_demo.main and invokes it.</w:t>
      </w:r>
    </w:p>
    <w:p>
      <w:pPr>
        <w:pStyle w:val="ListBullet"/>
        <w:spacing w:after="40"/>
      </w:pPr>
      <w:r>
        <w:t>qai_quantum_demo.py describes itself as local simulation only, research only, no fabric/execution/runtime. It enumerates three-bit states, initializes an equal-amplitude vector and prints illustrative timings.</w:t>
      </w:r>
    </w:p>
    <w:p>
      <w:pPr>
        <w:pStyle w:val="ListBullet"/>
        <w:spacing w:after="40"/>
      </w:pPr>
      <w:r>
        <w:t>The demo imports stability3.run but does not call it. The listed claims about entanglement, Hamiltonian evolution and stability are not implemented in that file's visible demonstration logic.</w:t>
      </w:r>
    </w:p>
    <w:p>
      <w:pPr>
        <w:pStyle w:val="ListBullet"/>
        <w:spacing w:after="40"/>
      </w:pPr>
      <w:r>
        <w:t>The wrapper/demo pair is a local entry point, not evidence of a Factory runtime, remote runner or physical QPU execution.</w:t>
      </w:r>
    </w:p>
    <w:p>
      <w:pPr>
        <w:pStyle w:val="Heading2"/>
      </w:pPr>
      <w:r>
        <w:t>3.4 Three-qubit stability experiment</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94164"/>
          </w:tcPr>
          <w:p>
            <w:pPr>
              <w:spacing w:after="20"/>
            </w:pPr>
            <w:r/>
            <w:r>
              <w:rPr>
                <w:rFonts w:ascii="Aptos" w:hAnsi="Aptos"/>
                <w:b/>
                <w:color w:val="FFFFFF"/>
                <w:sz w:val="17"/>
              </w:rPr>
              <w:t>File</w:t>
            </w:r>
          </w:p>
        </w:tc>
        <w:tc>
          <w:tcPr>
            <w:tcW w:type="dxa" w:w="4608"/>
            <w:vAlign w:val="center"/>
            <w:shd w:fill="194164"/>
          </w:tcPr>
          <w:p>
            <w:pPr>
              <w:spacing w:after="20"/>
            </w:pPr>
            <w:r/>
            <w:r>
              <w:rPr>
                <w:rFonts w:ascii="Aptos" w:hAnsi="Aptos"/>
                <w:b/>
                <w:color w:val="FFFFFF"/>
                <w:sz w:val="17"/>
              </w:rPr>
              <w:t>Observed implementation</w:t>
            </w:r>
          </w:p>
        </w:tc>
        <w:tc>
          <w:tcPr>
            <w:tcW w:type="dxa" w:w="3960"/>
            <w:vAlign w:val="center"/>
            <w:shd w:fill="194164"/>
          </w:tcPr>
          <w:p>
            <w:pPr>
              <w:spacing w:after="20"/>
            </w:pPr>
            <w:r/>
            <w:r>
              <w:rPr>
                <w:rFonts w:ascii="Aptos" w:hAnsi="Aptos"/>
                <w:b/>
                <w:color w:val="FFFFFF"/>
                <w:sz w:val="17"/>
              </w:rPr>
              <w:t>Integration note</w:t>
            </w:r>
          </w:p>
        </w:tc>
      </w:tr>
      <w:tr>
        <w:tc>
          <w:tcPr>
            <w:tcW w:type="dxa" w:w="1800"/>
            <w:vAlign w:val="center"/>
          </w:tcPr>
          <w:p>
            <w:pPr>
              <w:spacing w:after="20"/>
            </w:pPr>
            <w:r/>
            <w:r>
              <w:rPr>
                <w:rFonts w:ascii="Aptos" w:hAnsi="Aptos"/>
                <w:b w:val="0"/>
                <w:sz w:val="16"/>
              </w:rPr>
              <w:t>stability3.py</w:t>
            </w:r>
          </w:p>
        </w:tc>
        <w:tc>
          <w:tcPr>
            <w:tcW w:type="dxa" w:w="4608"/>
            <w:vAlign w:val="center"/>
          </w:tcPr>
          <w:p>
            <w:pPr>
              <w:spacing w:after="20"/>
            </w:pPr>
            <w:r/>
            <w:r>
              <w:rPr>
                <w:rFonts w:ascii="Aptos" w:hAnsi="Aptos"/>
                <w:b w:val="0"/>
                <w:sz w:val="16"/>
              </w:rPr>
              <w:t>run(J=1.0, tmax=3, steps=20, mode='open') initializes |000&gt;, constructs H, sweeps time, evolves state and returns T,S,P,E,F.</w:t>
            </w:r>
          </w:p>
        </w:tc>
        <w:tc>
          <w:tcPr>
            <w:tcW w:type="dxa" w:w="3960"/>
            <w:vAlign w:val="center"/>
          </w:tcPr>
          <w:p>
            <w:pPr>
              <w:spacing w:after="20"/>
            </w:pPr>
            <w:r/>
            <w:r>
              <w:rPr>
                <w:rFonts w:ascii="Aptos" w:hAnsi="Aptos"/>
                <w:b w:val="0"/>
                <w:sz w:val="16"/>
              </w:rPr>
              <w:t>Candidate experiment entry point; currently returns five arrays without a structured result object or pass/fail threshold.</w:t>
            </w:r>
          </w:p>
        </w:tc>
      </w:tr>
      <w:tr>
        <w:tc>
          <w:tcPr>
            <w:tcW w:type="dxa" w:w="1800"/>
            <w:vAlign w:val="center"/>
            <w:shd w:fill="F1F5F8"/>
          </w:tcPr>
          <w:p>
            <w:pPr>
              <w:spacing w:after="20"/>
            </w:pPr>
            <w:r/>
            <w:r>
              <w:rPr>
                <w:rFonts w:ascii="Aptos" w:hAnsi="Aptos"/>
                <w:b w:val="0"/>
                <w:sz w:val="16"/>
              </w:rPr>
              <w:t>hamiltonian3.py</w:t>
            </w:r>
          </w:p>
        </w:tc>
        <w:tc>
          <w:tcPr>
            <w:tcW w:type="dxa" w:w="4608"/>
            <w:vAlign w:val="center"/>
            <w:shd w:fill="F1F5F8"/>
          </w:tcPr>
          <w:p>
            <w:pPr>
              <w:spacing w:after="20"/>
            </w:pPr>
            <w:r/>
            <w:r>
              <w:rPr>
                <w:rFonts w:ascii="Aptos" w:hAnsi="Aptos"/>
                <w:b w:val="0"/>
                <w:sz w:val="16"/>
              </w:rPr>
              <w:t>Local Z terms plus nearest-neighbour XX and ZZ interactions; optional periodic coupling between qubits 3 and 1.</w:t>
            </w:r>
          </w:p>
        </w:tc>
        <w:tc>
          <w:tcPr>
            <w:tcW w:type="dxa" w:w="3960"/>
            <w:vAlign w:val="center"/>
            <w:shd w:fill="F1F5F8"/>
          </w:tcPr>
          <w:p>
            <w:pPr>
              <w:spacing w:after="20"/>
            </w:pPr>
            <w:r/>
            <w:r>
              <w:rPr>
                <w:rFonts w:ascii="Aptos" w:hAnsi="Aptos"/>
                <w:b w:val="0"/>
                <w:sz w:val="16"/>
              </w:rPr>
              <w:t>Functions interaction_xx, interaction_zz and total_h are each defined twice; later definitions replace earlier ones.</w:t>
            </w:r>
          </w:p>
        </w:tc>
      </w:tr>
      <w:tr>
        <w:tc>
          <w:tcPr>
            <w:tcW w:type="dxa" w:w="1800"/>
            <w:vAlign w:val="center"/>
          </w:tcPr>
          <w:p>
            <w:pPr>
              <w:spacing w:after="20"/>
            </w:pPr>
            <w:r/>
            <w:r>
              <w:rPr>
                <w:rFonts w:ascii="Aptos" w:hAnsi="Aptos"/>
                <w:b w:val="0"/>
                <w:sz w:val="16"/>
              </w:rPr>
              <w:t>evolution3.py</w:t>
            </w:r>
          </w:p>
        </w:tc>
        <w:tc>
          <w:tcPr>
            <w:tcW w:type="dxa" w:w="4608"/>
            <w:vAlign w:val="center"/>
          </w:tcPr>
          <w:p>
            <w:pPr>
              <w:spacing w:after="20"/>
            </w:pPr>
            <w:r/>
            <w:r>
              <w:rPr>
                <w:rFonts w:ascii="Aptos" w:hAnsi="Aptos"/>
                <w:b w:val="0"/>
                <w:sz w:val="16"/>
              </w:rPr>
              <w:t>Computes a matrix exponential by general eigendecomposition and applies U(t) to the state vector.</w:t>
            </w:r>
          </w:p>
        </w:tc>
        <w:tc>
          <w:tcPr>
            <w:tcW w:type="dxa" w:w="3960"/>
            <w:vAlign w:val="center"/>
          </w:tcPr>
          <w:p>
            <w:pPr>
              <w:spacing w:after="20"/>
            </w:pPr>
            <w:r/>
            <w:r>
              <w:rPr>
                <w:rFonts w:ascii="Aptos" w:hAnsi="Aptos"/>
                <w:b w:val="0"/>
                <w:sz w:val="16"/>
              </w:rPr>
              <w:t>Validate Hermiticity, numerical stability, units and results against a suitable reference.</w:t>
            </w:r>
          </w:p>
        </w:tc>
      </w:tr>
      <w:tr>
        <w:tc>
          <w:tcPr>
            <w:tcW w:type="dxa" w:w="1800"/>
            <w:vAlign w:val="center"/>
            <w:shd w:fill="F1F5F8"/>
          </w:tcPr>
          <w:p>
            <w:pPr>
              <w:spacing w:after="20"/>
            </w:pPr>
            <w:r/>
            <w:r>
              <w:rPr>
                <w:rFonts w:ascii="Aptos" w:hAnsi="Aptos"/>
                <w:b w:val="0"/>
                <w:sz w:val="16"/>
              </w:rPr>
              <w:t>density3.py</w:t>
            </w:r>
          </w:p>
        </w:tc>
        <w:tc>
          <w:tcPr>
            <w:tcW w:type="dxa" w:w="4608"/>
            <w:vAlign w:val="center"/>
            <w:shd w:fill="F1F5F8"/>
          </w:tcPr>
          <w:p>
            <w:pPr>
              <w:spacing w:after="20"/>
            </w:pPr>
            <w:r/>
            <w:r>
              <w:rPr>
                <w:rFonts w:ascii="Aptos" w:hAnsi="Aptos"/>
                <w:b w:val="0"/>
                <w:sz w:val="16"/>
              </w:rPr>
              <w:t>Constructs rho=|psi&gt;&lt;psi|; computes purity Tr(rho²) and trace.</w:t>
            </w:r>
          </w:p>
        </w:tc>
        <w:tc>
          <w:tcPr>
            <w:tcW w:type="dxa" w:w="3960"/>
            <w:vAlign w:val="center"/>
            <w:shd w:fill="F1F5F8"/>
          </w:tcPr>
          <w:p>
            <w:pPr>
              <w:spacing w:after="20"/>
            </w:pPr>
            <w:r/>
            <w:r>
              <w:rPr>
                <w:rFonts w:ascii="Aptos" w:hAnsi="Aptos"/>
                <w:b w:val="0"/>
                <w:sz w:val="16"/>
              </w:rPr>
              <w:t>Add numerical invariant checks in an integration/validation layer.</w:t>
            </w:r>
          </w:p>
        </w:tc>
      </w:tr>
      <w:tr>
        <w:tc>
          <w:tcPr>
            <w:tcW w:type="dxa" w:w="1800"/>
            <w:vAlign w:val="center"/>
          </w:tcPr>
          <w:p>
            <w:pPr>
              <w:spacing w:after="20"/>
            </w:pPr>
            <w:r/>
            <w:r>
              <w:rPr>
                <w:rFonts w:ascii="Aptos" w:hAnsi="Aptos"/>
                <w:b w:val="0"/>
                <w:sz w:val="16"/>
              </w:rPr>
              <w:t>entropy3.py</w:t>
            </w:r>
          </w:p>
        </w:tc>
        <w:tc>
          <w:tcPr>
            <w:tcW w:type="dxa" w:w="4608"/>
            <w:vAlign w:val="center"/>
          </w:tcPr>
          <w:p>
            <w:pPr>
              <w:spacing w:after="20"/>
            </w:pPr>
            <w:r/>
            <w:r>
              <w:rPr>
                <w:rFonts w:ascii="Aptos" w:hAnsi="Aptos"/>
                <w:b w:val="0"/>
                <w:sz w:val="16"/>
              </w:rPr>
              <w:t>Partial traces and base-2 von Neumann entropy from eigenvalues.</w:t>
            </w:r>
          </w:p>
        </w:tc>
        <w:tc>
          <w:tcPr>
            <w:tcW w:type="dxa" w:w="3960"/>
            <w:vAlign w:val="center"/>
          </w:tcPr>
          <w:p>
            <w:pPr>
              <w:spacing w:after="20"/>
            </w:pPr>
            <w:r/>
            <w:r>
              <w:rPr>
                <w:rFonts w:ascii="Aptos" w:hAnsi="Aptos"/>
                <w:b w:val="0"/>
                <w:sz w:val="16"/>
              </w:rPr>
              <w:t>Checks for Hermiticity, trace normalization and negative eigenvalues are not explicit; clarify subsystem naming.</w:t>
            </w:r>
          </w:p>
        </w:tc>
      </w:tr>
      <w:tr>
        <w:tc>
          <w:tcPr>
            <w:tcW w:type="dxa" w:w="1800"/>
            <w:vAlign w:val="center"/>
            <w:shd w:fill="F1F5F8"/>
          </w:tcPr>
          <w:p>
            <w:pPr>
              <w:spacing w:after="20"/>
            </w:pPr>
            <w:r/>
            <w:r>
              <w:rPr>
                <w:rFonts w:ascii="Aptos" w:hAnsi="Aptos"/>
                <w:b w:val="0"/>
                <w:sz w:val="16"/>
              </w:rPr>
              <w:t>tensor3.py</w:t>
            </w:r>
          </w:p>
        </w:tc>
        <w:tc>
          <w:tcPr>
            <w:tcW w:type="dxa" w:w="4608"/>
            <w:vAlign w:val="center"/>
            <w:shd w:fill="F1F5F8"/>
          </w:tcPr>
          <w:p>
            <w:pPr>
              <w:spacing w:after="20"/>
            </w:pPr>
            <w:r/>
            <w:r>
              <w:rPr>
                <w:rFonts w:ascii="Aptos" w:hAnsi="Aptos"/>
                <w:b w:val="0"/>
                <w:sz w:val="16"/>
              </w:rPr>
              <w:t>Builds tensor products left-to-right using np.kron.</w:t>
            </w:r>
          </w:p>
        </w:tc>
        <w:tc>
          <w:tcPr>
            <w:tcW w:type="dxa" w:w="3960"/>
            <w:vAlign w:val="center"/>
            <w:shd w:fill="F1F5F8"/>
          </w:tcPr>
          <w:p>
            <w:pPr>
              <w:spacing w:after="20"/>
            </w:pPr>
            <w:r/>
            <w:r>
              <w:rPr>
                <w:rFonts w:ascii="Aptos" w:hAnsi="Aptos"/>
                <w:b w:val="0"/>
                <w:sz w:val="16"/>
              </w:rPr>
              <w:t>Basis ordering is consistent with an 8-dimensional three-qubit state space; use it to document partial-trace conventions.</w:t>
            </w:r>
          </w:p>
        </w:tc>
      </w:tr>
    </w:tbl>
    <w:p/>
    <w:p>
      <w:pPr>
        <w:pStyle w:val="Heading2"/>
      </w:pPr>
      <w:r>
        <w:t>3.5 Scientific and numerical cautions</w:t>
      </w:r>
    </w:p>
    <w:p>
      <w:pPr>
        <w:pStyle w:val="ListBullet"/>
        <w:spacing w:after="40"/>
      </w:pPr>
      <w:r>
        <w:t>The Hamiltonian is assembled from Pauli operators and is expected to be Hermitian if the Pauli matrices and tensor helper are conventional; inspect pauli3.py to confirm the definitions.</w:t>
      </w:r>
    </w:p>
    <w:p>
      <w:pPr>
        <w:pStyle w:val="ListBullet"/>
        <w:spacing w:after="40"/>
      </w:pPr>
      <w:r>
        <w:t>The eigendecomposition-based propagator assumes a diagonalizable Hamiltonian. For Hermitian matrices, a Hermitian eigensolver is generally preferable; any code change should be tested and reviewed separately.</w:t>
      </w:r>
    </w:p>
    <w:p>
      <w:pPr>
        <w:pStyle w:val="ListBullet"/>
        <w:spacing w:after="40"/>
      </w:pPr>
      <w:r>
        <w:t>The evolution formula implicitly uses h-bar = 1; Hamiltonian and time units must be consistent.</w:t>
      </w:r>
    </w:p>
    <w:p>
      <w:pPr>
        <w:pStyle w:val="ListBullet"/>
        <w:spacing w:after="40"/>
      </w:pPr>
      <w:r>
        <w:t>The label mode='open' controls interaction topology in the shown total_h function. It does not itself implement open-system dynamics or decoherence.</w:t>
      </w:r>
    </w:p>
    <w:p>
      <w:pPr>
        <w:pStyle w:val="ListBullet"/>
        <w:spacing w:after="40"/>
      </w:pPr>
      <w:r>
        <w:t>The current density() produces a pure-state density matrix. Ideal unitary evolution preserves global purity; reduced subsystem entropy may nevertheless be positive due to entanglement.</w:t>
      </w:r>
    </w:p>
    <w:p>
      <w:pPr>
        <w:pStyle w:val="ListBullet"/>
        <w:spacing w:after="40"/>
      </w:pPr>
      <w:r>
        <w:t>The current entropy() takes real parts of eigenvalues and filters values &lt;= 1e-12 without explicitly validating Hermiticity, trace or positivity.</w:t>
      </w:r>
    </w:p>
    <w:p>
      <w:pPr>
        <w:pStyle w:val="ListBullet"/>
        <w:spacing w:after="40"/>
      </w:pPr>
      <w:r>
        <w:t>partial_trace_A/B/C reduce the full three-qubit density matrix to two-qubit states by tracing out the named tensor factor. Clarify names in the contract because a function named partial_trace_A returns the remaining subsystem state, not the reduced state of A alone.</w:t>
      </w:r>
    </w:p>
    <w:p>
      <w:pPr>
        <w:pStyle w:val="ListBullet"/>
        <w:spacing w:after="40"/>
      </w:pPr>
      <w:r>
        <w:t>The timing comparison in qai_quantum_demo.py compares different trivial operations and should not be presented as a quantum advantage benchmark.</w:t>
      </w:r>
    </w:p>
    <w:p>
      <w:pPr>
        <w:pStyle w:val="ListBullet"/>
        <w:spacing w:after="40"/>
      </w:pPr>
      <w:r>
        <w:t>A function returning arrays or a dictionary with status='success' is not proof of scientific validity or successful remote execution.</w:t>
      </w:r>
    </w:p>
    <w:p>
      <w:pPr>
        <w:pStyle w:val="Heading1"/>
      </w:pPr>
      <w:r>
        <w:t>4. Proposed First Integration Contract</w:t>
      </w:r>
    </w:p>
    <w:p>
      <w:r>
        <w:t>This is a proposed contract for review, not an existing implementation or finalized Framework capability. Keep identifiers provisional until checked against the actual Framework Registry.</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94164"/>
          </w:tcPr>
          <w:p>
            <w:pPr>
              <w:spacing w:after="20"/>
            </w:pPr>
            <w:r/>
            <w:r>
              <w:rPr>
                <w:rFonts w:ascii="Aptos" w:hAnsi="Aptos"/>
                <w:b/>
                <w:color w:val="FFFFFF"/>
                <w:sz w:val="17"/>
              </w:rPr>
              <w:t>Contract item</w:t>
            </w:r>
          </w:p>
        </w:tc>
        <w:tc>
          <w:tcPr>
            <w:tcW w:type="dxa" w:w="7992"/>
            <w:vAlign w:val="center"/>
            <w:shd w:fill="194164"/>
          </w:tcPr>
          <w:p>
            <w:pPr>
              <w:spacing w:after="20"/>
            </w:pPr>
            <w:r/>
            <w:r>
              <w:rPr>
                <w:rFonts w:ascii="Aptos" w:hAnsi="Aptos"/>
                <w:b/>
                <w:color w:val="FFFFFF"/>
                <w:sz w:val="17"/>
              </w:rPr>
              <w:t>Proposed initial value / rule</w:t>
            </w:r>
          </w:p>
        </w:tc>
      </w:tr>
      <w:tr>
        <w:tc>
          <w:tcPr>
            <w:tcW w:type="dxa" w:w="2376"/>
            <w:vAlign w:val="center"/>
          </w:tcPr>
          <w:p>
            <w:pPr>
              <w:spacing w:after="20"/>
            </w:pPr>
            <w:r/>
            <w:r>
              <w:rPr>
                <w:rFonts w:ascii="Aptos" w:hAnsi="Aptos"/>
                <w:b w:val="0"/>
                <w:sz w:val="16"/>
              </w:rPr>
              <w:t>Candidate implementation ID</w:t>
            </w:r>
          </w:p>
        </w:tc>
        <w:tc>
          <w:tcPr>
            <w:tcW w:type="dxa" w:w="7992"/>
            <w:vAlign w:val="center"/>
          </w:tcPr>
          <w:p>
            <w:pPr>
              <w:spacing w:after="20"/>
            </w:pPr>
            <w:r/>
            <w:r>
              <w:rPr>
                <w:rFonts w:ascii="Aptos" w:hAnsi="Aptos"/>
                <w:b w:val="0"/>
                <w:sz w:val="16"/>
              </w:rPr>
              <w:t>REF-QAI-THREE-QUBIT-STABILITY-001 (provisional)</w:t>
            </w:r>
          </w:p>
        </w:tc>
      </w:tr>
      <w:tr>
        <w:tc>
          <w:tcPr>
            <w:tcW w:type="dxa" w:w="2376"/>
            <w:vAlign w:val="center"/>
            <w:shd w:fill="F1F5F8"/>
          </w:tcPr>
          <w:p>
            <w:pPr>
              <w:spacing w:after="20"/>
            </w:pPr>
            <w:r/>
            <w:r>
              <w:rPr>
                <w:rFonts w:ascii="Aptos" w:hAnsi="Aptos"/>
                <w:b w:val="0"/>
                <w:sz w:val="16"/>
              </w:rPr>
              <w:t>Capability</w:t>
            </w:r>
          </w:p>
        </w:tc>
        <w:tc>
          <w:tcPr>
            <w:tcW w:type="dxa" w:w="7992"/>
            <w:vAlign w:val="center"/>
            <w:shd w:fill="F1F5F8"/>
          </w:tcPr>
          <w:p>
            <w:pPr>
              <w:spacing w:after="20"/>
            </w:pPr>
            <w:r/>
            <w:r>
              <w:rPr>
                <w:rFonts w:ascii="Aptos" w:hAnsi="Aptos"/>
                <w:b w:val="0"/>
                <w:sz w:val="16"/>
              </w:rPr>
              <w:t>QAI_EXPERIMENT_EXECUTION only if this exact capability exists in the Framework Registry; otherwise use a provisional alias pending mapping.</w:t>
            </w:r>
          </w:p>
        </w:tc>
      </w:tr>
      <w:tr>
        <w:tc>
          <w:tcPr>
            <w:tcW w:type="dxa" w:w="2376"/>
            <w:vAlign w:val="center"/>
          </w:tcPr>
          <w:p>
            <w:pPr>
              <w:spacing w:after="20"/>
            </w:pPr>
            <w:r/>
            <w:r>
              <w:rPr>
                <w:rFonts w:ascii="Aptos" w:hAnsi="Aptos"/>
                <w:b w:val="0"/>
                <w:sz w:val="16"/>
              </w:rPr>
              <w:t>Implementation type</w:t>
            </w:r>
          </w:p>
        </w:tc>
        <w:tc>
          <w:tcPr>
            <w:tcW w:type="dxa" w:w="7992"/>
            <w:vAlign w:val="center"/>
          </w:tcPr>
          <w:p>
            <w:pPr>
              <w:spacing w:after="20"/>
            </w:pPr>
            <w:r/>
            <w:r>
              <w:rPr>
                <w:rFonts w:ascii="Aptos" w:hAnsi="Aptos"/>
                <w:b w:val="0"/>
                <w:sz w:val="16"/>
              </w:rPr>
              <w:t>Local Python research implementation</w:t>
            </w:r>
          </w:p>
        </w:tc>
      </w:tr>
      <w:tr>
        <w:tc>
          <w:tcPr>
            <w:tcW w:type="dxa" w:w="2376"/>
            <w:vAlign w:val="center"/>
            <w:shd w:fill="F1F5F8"/>
          </w:tcPr>
          <w:p>
            <w:pPr>
              <w:spacing w:after="20"/>
            </w:pPr>
            <w:r/>
            <w:r>
              <w:rPr>
                <w:rFonts w:ascii="Aptos" w:hAnsi="Aptos"/>
                <w:b w:val="0"/>
                <w:sz w:val="16"/>
              </w:rPr>
              <w:t>Entry point</w:t>
            </w:r>
          </w:p>
        </w:tc>
        <w:tc>
          <w:tcPr>
            <w:tcW w:type="dxa" w:w="7992"/>
            <w:vAlign w:val="center"/>
            <w:shd w:fill="F1F5F8"/>
          </w:tcPr>
          <w:p>
            <w:pPr>
              <w:spacing w:after="20"/>
            </w:pPr>
            <w:r/>
            <w:r>
              <w:rPr>
                <w:rFonts w:ascii="Aptos" w:hAnsi="Aptos"/>
                <w:b w:val="0"/>
                <w:sz w:val="16"/>
              </w:rPr>
              <w:t>stability3.run</w:t>
            </w:r>
          </w:p>
        </w:tc>
      </w:tr>
      <w:tr>
        <w:tc>
          <w:tcPr>
            <w:tcW w:type="dxa" w:w="2376"/>
            <w:vAlign w:val="center"/>
          </w:tcPr>
          <w:p>
            <w:pPr>
              <w:spacing w:after="20"/>
            </w:pPr>
            <w:r/>
            <w:r>
              <w:rPr>
                <w:rFonts w:ascii="Aptos" w:hAnsi="Aptos"/>
                <w:b w:val="0"/>
                <w:sz w:val="16"/>
              </w:rPr>
              <w:t>Execution mode</w:t>
            </w:r>
          </w:p>
        </w:tc>
        <w:tc>
          <w:tcPr>
            <w:tcW w:type="dxa" w:w="7992"/>
            <w:vAlign w:val="center"/>
          </w:tcPr>
          <w:p>
            <w:pPr>
              <w:spacing w:after="20"/>
            </w:pPr>
            <w:r/>
            <w:r>
              <w:rPr>
                <w:rFonts w:ascii="Aptos" w:hAnsi="Aptos"/>
                <w:b w:val="0"/>
                <w:sz w:val="16"/>
              </w:rPr>
              <w:t>local numerical simulation</w:t>
            </w:r>
          </w:p>
        </w:tc>
      </w:tr>
      <w:tr>
        <w:tc>
          <w:tcPr>
            <w:tcW w:type="dxa" w:w="2376"/>
            <w:vAlign w:val="center"/>
            <w:shd w:fill="F1F5F8"/>
          </w:tcPr>
          <w:p>
            <w:pPr>
              <w:spacing w:after="20"/>
            </w:pPr>
            <w:r/>
            <w:r>
              <w:rPr>
                <w:rFonts w:ascii="Aptos" w:hAnsi="Aptos"/>
                <w:b w:val="0"/>
                <w:sz w:val="16"/>
              </w:rPr>
              <w:t>Parameters</w:t>
            </w:r>
          </w:p>
        </w:tc>
        <w:tc>
          <w:tcPr>
            <w:tcW w:type="dxa" w:w="7992"/>
            <w:vAlign w:val="center"/>
            <w:shd w:fill="F1F5F8"/>
          </w:tcPr>
          <w:p>
            <w:pPr>
              <w:spacing w:after="20"/>
            </w:pPr>
            <w:r/>
            <w:r>
              <w:rPr>
                <w:rFonts w:ascii="Aptos" w:hAnsi="Aptos"/>
                <w:b w:val="0"/>
                <w:sz w:val="16"/>
              </w:rPr>
              <w:t>J (float), tmax (positive float), steps (integer &gt;= 2), mode (allowlisted open/periodic); optionally w if exposed in a future interface.</w:t>
            </w:r>
          </w:p>
        </w:tc>
      </w:tr>
      <w:tr>
        <w:tc>
          <w:tcPr>
            <w:tcW w:type="dxa" w:w="2376"/>
            <w:vAlign w:val="center"/>
          </w:tcPr>
          <w:p>
            <w:pPr>
              <w:spacing w:after="20"/>
            </w:pPr>
            <w:r/>
            <w:r>
              <w:rPr>
                <w:rFonts w:ascii="Aptos" w:hAnsi="Aptos"/>
                <w:b w:val="0"/>
                <w:sz w:val="16"/>
              </w:rPr>
              <w:t>Inputs validation</w:t>
            </w:r>
          </w:p>
        </w:tc>
        <w:tc>
          <w:tcPr>
            <w:tcW w:type="dxa" w:w="7992"/>
            <w:vAlign w:val="center"/>
          </w:tcPr>
          <w:p>
            <w:pPr>
              <w:spacing w:after="20"/>
            </w:pPr>
            <w:r/>
            <w:r>
              <w:rPr>
                <w:rFonts w:ascii="Aptos" w:hAnsi="Aptos"/>
                <w:b w:val="0"/>
                <w:sz w:val="16"/>
              </w:rPr>
              <w:t>Reject non-finite parameters, invalid step counts, unsupported modes and incompatible types before execution.</w:t>
            </w:r>
          </w:p>
        </w:tc>
      </w:tr>
      <w:tr>
        <w:tc>
          <w:tcPr>
            <w:tcW w:type="dxa" w:w="2376"/>
            <w:vAlign w:val="center"/>
            <w:shd w:fill="F1F5F8"/>
          </w:tcPr>
          <w:p>
            <w:pPr>
              <w:spacing w:after="20"/>
            </w:pPr>
            <w:r/>
            <w:r>
              <w:rPr>
                <w:rFonts w:ascii="Aptos" w:hAnsi="Aptos"/>
                <w:b w:val="0"/>
                <w:sz w:val="16"/>
              </w:rPr>
              <w:t>Outputs</w:t>
            </w:r>
          </w:p>
        </w:tc>
        <w:tc>
          <w:tcPr>
            <w:tcW w:type="dxa" w:w="7992"/>
            <w:vAlign w:val="center"/>
            <w:shd w:fill="F1F5F8"/>
          </w:tcPr>
          <w:p>
            <w:pPr>
              <w:spacing w:after="20"/>
            </w:pPr>
            <w:r/>
            <w:r>
              <w:rPr>
                <w:rFonts w:ascii="Aptos" w:hAnsi="Aptos"/>
                <w:b w:val="0"/>
                <w:sz w:val="16"/>
              </w:rPr>
              <w:t>time series T, entropy S, purity P, energy E, fidelity F; each series must have expected length and finite values.</w:t>
            </w:r>
          </w:p>
        </w:tc>
      </w:tr>
      <w:tr>
        <w:tc>
          <w:tcPr>
            <w:tcW w:type="dxa" w:w="2376"/>
            <w:vAlign w:val="center"/>
          </w:tcPr>
          <w:p>
            <w:pPr>
              <w:spacing w:after="20"/>
            </w:pPr>
            <w:r/>
            <w:r>
              <w:rPr>
                <w:rFonts w:ascii="Aptos" w:hAnsi="Aptos"/>
                <w:b w:val="0"/>
                <w:sz w:val="16"/>
              </w:rPr>
              <w:t>Status semantics</w:t>
            </w:r>
          </w:p>
        </w:tc>
        <w:tc>
          <w:tcPr>
            <w:tcW w:type="dxa" w:w="7992"/>
            <w:vAlign w:val="center"/>
          </w:tcPr>
          <w:p>
            <w:pPr>
              <w:spacing w:after="20"/>
            </w:pPr>
            <w:r/>
            <w:r>
              <w:rPr>
                <w:rFonts w:ascii="Aptos" w:hAnsi="Aptos"/>
                <w:b w:val="0"/>
                <w:sz w:val="16"/>
              </w:rPr>
              <w:t>Separate resolved, dry-run-valid, execution-started, execution-completed, result-validated and evidence-captured states.</w:t>
            </w:r>
          </w:p>
        </w:tc>
      </w:tr>
      <w:tr>
        <w:tc>
          <w:tcPr>
            <w:tcW w:type="dxa" w:w="2376"/>
            <w:vAlign w:val="center"/>
            <w:shd w:fill="F1F5F8"/>
          </w:tcPr>
          <w:p>
            <w:pPr>
              <w:spacing w:after="20"/>
            </w:pPr>
            <w:r/>
            <w:r>
              <w:rPr>
                <w:rFonts w:ascii="Aptos" w:hAnsi="Aptos"/>
                <w:b w:val="0"/>
                <w:sz w:val="16"/>
              </w:rPr>
              <w:t>No external access</w:t>
            </w:r>
          </w:p>
        </w:tc>
        <w:tc>
          <w:tcPr>
            <w:tcW w:type="dxa" w:w="7992"/>
            <w:vAlign w:val="center"/>
            <w:shd w:fill="F1F5F8"/>
          </w:tcPr>
          <w:p>
            <w:pPr>
              <w:spacing w:after="20"/>
            </w:pPr>
            <w:r/>
            <w:r>
              <w:rPr>
                <w:rFonts w:ascii="Aptos" w:hAnsi="Aptos"/>
                <w:b w:val="0"/>
                <w:sz w:val="16"/>
              </w:rPr>
              <w:t>Initial prototype must not contact GitLab, GitHub, cloud services or physical quantum hardware.</w:t>
            </w:r>
          </w:p>
        </w:tc>
      </w:tr>
      <w:tr>
        <w:tc>
          <w:tcPr>
            <w:tcW w:type="dxa" w:w="2376"/>
            <w:vAlign w:val="center"/>
          </w:tcPr>
          <w:p>
            <w:pPr>
              <w:spacing w:after="20"/>
            </w:pPr>
            <w:r/>
            <w:r>
              <w:rPr>
                <w:rFonts w:ascii="Aptos" w:hAnsi="Aptos"/>
                <w:b w:val="0"/>
                <w:sz w:val="16"/>
              </w:rPr>
              <w:t>Evidence/provenance</w:t>
            </w:r>
          </w:p>
        </w:tc>
        <w:tc>
          <w:tcPr>
            <w:tcW w:type="dxa" w:w="7992"/>
            <w:vAlign w:val="center"/>
          </w:tcPr>
          <w:p>
            <w:pPr>
              <w:spacing w:after="20"/>
            </w:pPr>
            <w:r/>
            <w:r>
              <w:rPr>
                <w:rFonts w:ascii="Aptos" w:hAnsi="Aptos"/>
                <w:b w:val="0"/>
                <w:sz w:val="16"/>
              </w:rPr>
              <w:t>Record request/config version, implementation ID/version/revision, parameters, runtime/dependency metadata, execution ID, status, output digest/path, validation results and timestamps.</w:t>
            </w:r>
          </w:p>
        </w:tc>
      </w:tr>
      <w:tr>
        <w:tc>
          <w:tcPr>
            <w:tcW w:type="dxa" w:w="2376"/>
            <w:vAlign w:val="center"/>
            <w:shd w:fill="F1F5F8"/>
          </w:tcPr>
          <w:p>
            <w:pPr>
              <w:spacing w:after="20"/>
            </w:pPr>
            <w:r/>
            <w:r>
              <w:rPr>
                <w:rFonts w:ascii="Aptos" w:hAnsi="Aptos"/>
                <w:b w:val="0"/>
                <w:sz w:val="16"/>
              </w:rPr>
              <w:t>Failure handling</w:t>
            </w:r>
          </w:p>
        </w:tc>
        <w:tc>
          <w:tcPr>
            <w:tcW w:type="dxa" w:w="7992"/>
            <w:vAlign w:val="center"/>
            <w:shd w:fill="F1F5F8"/>
          </w:tcPr>
          <w:p>
            <w:pPr>
              <w:spacing w:after="20"/>
            </w:pPr>
            <w:r/>
            <w:r>
              <w:rPr>
                <w:rFonts w:ascii="Aptos" w:hAnsi="Aptos"/>
                <w:b w:val="0"/>
                <w:sz w:val="16"/>
              </w:rPr>
              <w:t>Return typed stage-specific errors for resolution, contract validation, import/dependency, execution, result validation and evidence persistence.</w:t>
            </w:r>
          </w:p>
        </w:tc>
      </w:tr>
    </w:tbl>
    <w:p/>
    <w:p>
      <w:pPr>
        <w:pStyle w:val="Heading2"/>
      </w:pPr>
      <w:r>
        <w:t>4.1 Suggested normalized result envelope</w:t>
      </w:r>
    </w:p>
    <w:p>
      <w:pPr>
        <w:spacing w:before="40" w:after="120"/>
        <w:ind w:left="259" w:right="144"/>
        <w:shd w:fill="F2F5F7"/>
      </w:pPr>
      <w:r>
        <w:rPr>
          <w:rFonts w:ascii="Consolas" w:hAnsi="Consolas"/>
          <w:color w:val="2D4150"/>
          <w:sz w:val="16"/>
        </w:rPr>
        <w:t>{</w:t>
      </w:r>
      <w:r>
        <w:br/>
      </w:r>
      <w:r>
        <w:rPr>
          <w:rFonts w:ascii="Consolas" w:hAnsi="Consolas"/>
          <w:color w:val="2D4150"/>
          <w:sz w:val="16"/>
        </w:rPr>
        <w:t xml:space="preserve">  "execution_id": "&lt;generated-id&gt;",</w:t>
      </w:r>
      <w:r>
        <w:br/>
      </w:r>
      <w:r>
        <w:rPr>
          <w:rFonts w:ascii="Consolas" w:hAnsi="Consolas"/>
          <w:color w:val="2D4150"/>
          <w:sz w:val="16"/>
        </w:rPr>
        <w:t xml:space="preserve">  "implementation_id": "REF-QAI-THREE-QUBIT-STABILITY-001",</w:t>
      </w:r>
      <w:r>
        <w:br/>
      </w:r>
      <w:r>
        <w:rPr>
          <w:rFonts w:ascii="Consolas" w:hAnsi="Consolas"/>
          <w:color w:val="2D4150"/>
          <w:sz w:val="16"/>
        </w:rPr>
        <w:t xml:space="preserve">  "execution_mode": "local_simulation",</w:t>
      </w:r>
      <w:r>
        <w:br/>
      </w:r>
      <w:r>
        <w:rPr>
          <w:rFonts w:ascii="Consolas" w:hAnsi="Consolas"/>
          <w:color w:val="2D4150"/>
          <w:sz w:val="16"/>
        </w:rPr>
        <w:t xml:space="preserve">  "status": "completed",</w:t>
      </w:r>
      <w:r>
        <w:br/>
      </w:r>
      <w:r>
        <w:rPr>
          <w:rFonts w:ascii="Consolas" w:hAnsi="Consolas"/>
          <w:color w:val="2D4150"/>
          <w:sz w:val="16"/>
        </w:rPr>
        <w:t xml:space="preserve">  "parameters": {"J": 1.0, "tmax": 3.0, "steps": 20, "mode": "open"},</w:t>
      </w:r>
      <w:r>
        <w:br/>
      </w:r>
      <w:r>
        <w:rPr>
          <w:rFonts w:ascii="Consolas" w:hAnsi="Consolas"/>
          <w:color w:val="2D4150"/>
          <w:sz w:val="16"/>
        </w:rPr>
        <w:t xml:space="preserve">  "metrics": {"time": [], "entropy": [], "purity": [], "energy": [], "fidelity": []},</w:t>
      </w:r>
      <w:r>
        <w:br/>
      </w:r>
      <w:r>
        <w:rPr>
          <w:rFonts w:ascii="Consolas" w:hAnsi="Consolas"/>
          <w:color w:val="2D4150"/>
          <w:sz w:val="16"/>
        </w:rPr>
        <w:t xml:space="preserve">  "validation": {"status": "not_run", "checks": []},</w:t>
      </w:r>
      <w:r>
        <w:br/>
      </w:r>
      <w:r>
        <w:rPr>
          <w:rFonts w:ascii="Consolas" w:hAnsi="Consolas"/>
          <w:color w:val="2D4150"/>
          <w:sz w:val="16"/>
        </w:rPr>
        <w:t xml:space="preserve">  "provenance": {"source_revision": "&lt;revision&gt;", "dependency_manifest": "&lt;reference&gt;"},</w:t>
      </w:r>
      <w:r>
        <w:br/>
      </w:r>
      <w:r>
        <w:rPr>
          <w:rFonts w:ascii="Consolas" w:hAnsi="Consolas"/>
          <w:color w:val="2D4150"/>
          <w:sz w:val="16"/>
        </w:rPr>
        <w:t xml:space="preserve">  "evidence": []</w:t>
      </w:r>
      <w:r>
        <w:br/>
      </w:r>
      <w:r>
        <w:rPr>
          <w:rFonts w:ascii="Consolas" w:hAnsi="Consolas"/>
          <w:color w:val="2D4150"/>
          <w:sz w:val="16"/>
        </w:rPr>
        <w:t>}</w:t>
      </w:r>
    </w:p>
    <w:p>
      <w:r>
        <w:t>This envelope is illustrative. Do not invent an execution ID, source revision, output digest or validation pass; populate these from the actual controlled execution and evidence capture.</w:t>
      </w:r>
    </w:p>
    <w:p>
      <w:pPr>
        <w:pStyle w:val="Heading1"/>
      </w:pPr>
      <w:r>
        <w:t>5. VS Code Development Roadmap</w:t>
      </w:r>
    </w:p>
    <w:p>
      <w:r>
        <w:t>Proceed in small, reviewable stages. Keep all existing research source files unchanged unless a specific edit is approved.</w:t>
      </w:r>
    </w:p>
    <w:p>
      <w:pPr>
        <w:pStyle w:val="ListNumber"/>
        <w:spacing w:after="80"/>
      </w:pPr>
      <w:r>
        <w:rPr>
          <w:b/>
        </w:rPr>
        <w:t xml:space="preserve">Inventory actual executable code: </w:t>
      </w:r>
      <w:r>
        <w:t>Inspect bootstrapper/engine, other resolver locations, Framework Registry loaders, registry validators, runtime binding consumers and existing tests. Record file paths and whether code is executable, configuration-only or documentation.</w:t>
      </w:r>
    </w:p>
    <w:p>
      <w:pPr>
        <w:pStyle w:val="ListNumber"/>
        <w:spacing w:after="80"/>
      </w:pPr>
      <w:r>
        <w:rPr>
          <w:b/>
        </w:rPr>
        <w:t xml:space="preserve">Confirm canonical Framework identities: </w:t>
      </w:r>
      <w:r>
        <w:t>Locate the real capability and interface definitions. Decide whether the candidate experiment maps to an existing capability or needs a provisional reference alias. Do not assume QAI_EXPERIMENT_EXECUTION is registered merely because it appears in documentation.</w:t>
      </w:r>
    </w:p>
    <w:p>
      <w:pPr>
        <w:pStyle w:val="ListNumber"/>
        <w:spacing w:after="80"/>
      </w:pPr>
      <w:r>
        <w:rPr>
          <w:b/>
        </w:rPr>
        <w:t xml:space="preserve">Document the implementation binding: </w:t>
      </w:r>
      <w:r>
        <w:t>Prepare a reviewable binding proposal containing implementation ID/version, source repo/path/revision, entry point, environment, dependencies, execution mode, input/output contract, limitations and evidence policy. Do not add secrets.</w:t>
      </w:r>
    </w:p>
    <w:p>
      <w:pPr>
        <w:pStyle w:val="ListNumber"/>
        <w:spacing w:after="80"/>
      </w:pPr>
      <w:r>
        <w:rPr>
          <w:b/>
        </w:rPr>
        <w:t xml:space="preserve">Define the local contract and schemas: </w:t>
      </w:r>
      <w:r>
        <w:t>Specify request validation and normalized result shape. Validate types, finite numeric values, mode allowlist, steps &gt;= 2, series lengths and result status semantics.</w:t>
      </w:r>
    </w:p>
    <w:p>
      <w:pPr>
        <w:pStyle w:val="ListNumber"/>
        <w:spacing w:after="80"/>
      </w:pPr>
      <w:r>
        <w:rPr>
          <w:b/>
        </w:rPr>
        <w:t xml:space="preserve">Implement dry-run resolution first: </w:t>
      </w:r>
      <w:r>
        <w:t>Resolve the candidate by registry metadata and check identity, version, compatibility, dependencies and configuration without importing/running the experiment or contacting external systems.</w:t>
      </w:r>
    </w:p>
    <w:p>
      <w:pPr>
        <w:pStyle w:val="ListNumber"/>
        <w:spacing w:after="80"/>
      </w:pPr>
      <w:r>
        <w:rPr>
          <w:b/>
        </w:rPr>
        <w:t xml:space="preserve">Add a thin local adapter only if needed: </w:t>
      </w:r>
      <w:r>
        <w:t>Translate the Factory request into stability3.run parameters and normalize its tuple output. Do not copy the Hamiltonian or experiment algorithm into Factory Core.</w:t>
      </w:r>
    </w:p>
    <w:p>
      <w:pPr>
        <w:pStyle w:val="ListNumber"/>
        <w:spacing w:after="80"/>
      </w:pPr>
      <w:r>
        <w:rPr>
          <w:b/>
        </w:rPr>
        <w:t xml:space="preserve">Add numerical validation: </w:t>
      </w:r>
      <w:r>
        <w:t>Test state norm, density trace, Hermiticity, purity bounds, entropy bounds, finite metrics, expected array lengths and repeatability. Compare selected cases against independent analytical or trusted numerical references.</w:t>
      </w:r>
    </w:p>
    <w:p>
      <w:pPr>
        <w:pStyle w:val="ListNumber"/>
        <w:spacing w:after="80"/>
      </w:pPr>
      <w:r>
        <w:rPr>
          <w:b/>
        </w:rPr>
        <w:t xml:space="preserve">Capture evidence and provenance: </w:t>
      </w:r>
      <w:r>
        <w:t>Record the request, parameters, implementation revision, dependency versions, execution status, validation output and references/digests for saved results. Keep durable evidence distinct from transient runtime state.</w:t>
      </w:r>
    </w:p>
    <w:p>
      <w:pPr>
        <w:pStyle w:val="ListNumber"/>
        <w:spacing w:after="80"/>
      </w:pPr>
      <w:r>
        <w:rPr>
          <w:b/>
        </w:rPr>
        <w:t xml:space="preserve">Integrate with Bootstrapper only after contract works: </w:t>
      </w:r>
      <w:r>
        <w:t>Replace hard-coded package/implementation selection incrementally, preserving the existing known-good generated deployment. Validate configuration semantics and fail clearly when resolution is ambiguous or incompatible.</w:t>
      </w:r>
    </w:p>
    <w:p>
      <w:pPr>
        <w:pStyle w:val="ListNumber"/>
        <w:spacing w:after="80"/>
      </w:pPr>
      <w:r>
        <w:rPr>
          <w:b/>
        </w:rPr>
        <w:t xml:space="preserve">Add automated tests and a manual VS Code checklist: </w:t>
      </w:r>
      <w:r>
        <w:t>Cover valid request, invalid parameters, unknown capability, missing implementation, incompatible profile, dependency failure, execution failure, malformed output, dry-run no-invocation and evidence persistence.</w:t>
      </w:r>
    </w:p>
    <w:p>
      <w:pPr>
        <w:pStyle w:val="ListNumber"/>
        <w:spacing w:after="80"/>
      </w:pPr>
      <w:r>
        <w:rPr>
          <w:b/>
        </w:rPr>
        <w:t xml:space="preserve">Qualify before expanding scope: </w:t>
      </w:r>
      <w:r>
        <w:t>Only after the local slice passes, consider GitLab connector/runner integration. Treat cloud execution, physical QPU, hybrid execution and production deployment as separate qualification steps.</w:t>
      </w:r>
    </w:p>
    <w:p>
      <w:pPr>
        <w:pStyle w:val="Heading2"/>
      </w:pPr>
      <w:r>
        <w:t>5.1 Suggested acceptance criteria</w:t>
      </w:r>
    </w:p>
    <w:p>
      <w:pPr>
        <w:pStyle w:val="ListBullet"/>
        <w:spacing w:after="40"/>
      </w:pPr>
      <w:r>
        <w:t>Dry run resolves the requested implementation and never calls stability3.run.</w:t>
      </w:r>
    </w:p>
    <w:p>
      <w:pPr>
        <w:pStyle w:val="ListBullet"/>
        <w:spacing w:after="40"/>
      </w:pPr>
      <w:r>
        <w:t>Unknown capability, missing binding, invalid parameters and incompatible configuration fail with explicit stage-specific errors.</w:t>
      </w:r>
    </w:p>
    <w:p>
      <w:pPr>
        <w:pStyle w:val="ListBullet"/>
        <w:spacing w:after="40"/>
      </w:pPr>
      <w:r>
        <w:t>A controlled local run returns five metric series of the requested length with finite values or a clear numerical validation failure.</w:t>
      </w:r>
    </w:p>
    <w:p>
      <w:pPr>
        <w:pStyle w:val="ListBullet"/>
        <w:spacing w:after="40"/>
      </w:pPr>
      <w:r>
        <w:t>Repeated runs with identical source revision, parameters and environment produce results consistent within documented tolerances.</w:t>
      </w:r>
    </w:p>
    <w:p>
      <w:pPr>
        <w:pStyle w:val="ListBullet"/>
        <w:spacing w:after="40"/>
      </w:pPr>
      <w:r>
        <w:t>Evidence links request, implementation identity/version, parameters, execution status, result and validation output.</w:t>
      </w:r>
    </w:p>
    <w:p>
      <w:pPr>
        <w:pStyle w:val="ListBullet"/>
        <w:spacing w:after="40"/>
      </w:pPr>
      <w:r>
        <w:t>No secrets are committed to source, registry metadata, notebooks or generated deployment artifacts.</w:t>
      </w:r>
    </w:p>
    <w:p>
      <w:pPr>
        <w:pStyle w:val="ListBullet"/>
        <w:spacing w:after="40"/>
      </w:pPr>
      <w:r>
        <w:t>No external service or physical QPU is contacted during the initial prototype.</w:t>
      </w:r>
    </w:p>
    <w:p>
      <w:pPr>
        <w:pStyle w:val="ListBullet"/>
        <w:spacing w:after="40"/>
      </w:pPr>
      <w:r>
        <w:t>Existing Bootstrapper-generated deployment and research assets remain intact.</w:t>
      </w:r>
    </w:p>
    <w:p>
      <w:pPr>
        <w:pStyle w:val="Heading1"/>
      </w:pPr>
      <w:r>
        <w:t>6. Risks, Controls and Non-Goals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94164"/>
          </w:tcPr>
          <w:p>
            <w:pPr>
              <w:spacing w:after="20"/>
            </w:pPr>
            <w:r/>
            <w:r>
              <w:rPr>
                <w:rFonts w:ascii="Aptos" w:hAnsi="Aptos"/>
                <w:b/>
                <w:color w:val="FFFFFF"/>
                <w:sz w:val="17"/>
              </w:rPr>
              <w:t>Risk / ambiguity</w:t>
            </w:r>
          </w:p>
        </w:tc>
        <w:tc>
          <w:tcPr>
            <w:tcW w:type="dxa" w:w="7056"/>
            <w:vAlign w:val="center"/>
            <w:shd w:fill="194164"/>
          </w:tcPr>
          <w:p>
            <w:pPr>
              <w:spacing w:after="20"/>
            </w:pPr>
            <w:r/>
            <w:r>
              <w:rPr>
                <w:rFonts w:ascii="Aptos" w:hAnsi="Aptos"/>
                <w:b/>
                <w:color w:val="FFFFFF"/>
                <w:sz w:val="17"/>
              </w:rPr>
              <w:t>Control</w:t>
            </w:r>
          </w:p>
        </w:tc>
      </w:tr>
      <w:tr>
        <w:tc>
          <w:tcPr>
            <w:tcW w:type="dxa" w:w="3312"/>
            <w:vAlign w:val="center"/>
          </w:tcPr>
          <w:p>
            <w:pPr>
              <w:spacing w:after="20"/>
            </w:pPr>
            <w:r/>
            <w:r>
              <w:rPr>
                <w:rFonts w:ascii="Aptos" w:hAnsi="Aptos"/>
                <w:b w:val="0"/>
                <w:sz w:val="16"/>
              </w:rPr>
              <w:t>Documentation mistaken for executable capability</w:t>
            </w:r>
          </w:p>
        </w:tc>
        <w:tc>
          <w:tcPr>
            <w:tcW w:type="dxa" w:w="7056"/>
            <w:vAlign w:val="center"/>
          </w:tcPr>
          <w:p>
            <w:pPr>
              <w:spacing w:after="20"/>
            </w:pPr>
            <w:r/>
            <w:r>
              <w:rPr>
                <w:rFonts w:ascii="Aptos" w:hAnsi="Aptos"/>
                <w:b w:val="0"/>
                <w:sz w:val="16"/>
              </w:rPr>
              <w:t>Verify source code, tests and runtime entry points before claiming implementation status.</w:t>
            </w:r>
          </w:p>
        </w:tc>
      </w:tr>
      <w:tr>
        <w:tc>
          <w:tcPr>
            <w:tcW w:type="dxa" w:w="3312"/>
            <w:vAlign w:val="center"/>
            <w:shd w:fill="F1F5F8"/>
          </w:tcPr>
          <w:p>
            <w:pPr>
              <w:spacing w:after="20"/>
            </w:pPr>
            <w:r/>
            <w:r>
              <w:rPr>
                <w:rFonts w:ascii="Aptos" w:hAnsi="Aptos"/>
                <w:b w:val="0"/>
                <w:sz w:val="16"/>
              </w:rPr>
              <w:t>Hard-coded Bootstrapper behavior</w:t>
            </w:r>
          </w:p>
        </w:tc>
        <w:tc>
          <w:tcPr>
            <w:tcW w:type="dxa" w:w="7056"/>
            <w:vAlign w:val="center"/>
            <w:shd w:fill="F1F5F8"/>
          </w:tcPr>
          <w:p>
            <w:pPr>
              <w:spacing w:after="20"/>
            </w:pPr>
            <w:r/>
            <w:r>
              <w:rPr>
                <w:rFonts w:ascii="Aptos" w:hAnsi="Aptos"/>
                <w:b w:val="0"/>
                <w:sz w:val="16"/>
              </w:rPr>
              <w:t>Make configuration genuinely drive selection; use a YAML parser and schema validation only in an authorized change.</w:t>
            </w:r>
          </w:p>
        </w:tc>
      </w:tr>
      <w:tr>
        <w:tc>
          <w:tcPr>
            <w:tcW w:type="dxa" w:w="3312"/>
            <w:vAlign w:val="center"/>
          </w:tcPr>
          <w:p>
            <w:pPr>
              <w:spacing w:after="20"/>
            </w:pPr>
            <w:r/>
            <w:r>
              <w:rPr>
                <w:rFonts w:ascii="Aptos" w:hAnsi="Aptos"/>
                <w:b w:val="0"/>
                <w:sz w:val="16"/>
              </w:rPr>
              <w:t>Empty resolver folder</w:t>
            </w:r>
          </w:p>
        </w:tc>
        <w:tc>
          <w:tcPr>
            <w:tcW w:type="dxa" w:w="7056"/>
            <w:vAlign w:val="center"/>
          </w:tcPr>
          <w:p>
            <w:pPr>
              <w:spacing w:after="20"/>
            </w:pPr>
            <w:r/>
            <w:r>
              <w:rPr>
                <w:rFonts w:ascii="Aptos" w:hAnsi="Aptos"/>
                <w:b w:val="0"/>
                <w:sz w:val="16"/>
              </w:rPr>
              <w:t>Inspect engine and repository-wide code before creating a duplicate resolver.</w:t>
            </w:r>
          </w:p>
        </w:tc>
      </w:tr>
      <w:tr>
        <w:tc>
          <w:tcPr>
            <w:tcW w:type="dxa" w:w="3312"/>
            <w:vAlign w:val="center"/>
            <w:shd w:fill="F1F5F8"/>
          </w:tcPr>
          <w:p>
            <w:pPr>
              <w:spacing w:after="20"/>
            </w:pPr>
            <w:r/>
            <w:r>
              <w:rPr>
                <w:rFonts w:ascii="Aptos" w:hAnsi="Aptos"/>
                <w:b w:val="0"/>
                <w:sz w:val="16"/>
              </w:rPr>
              <w:t>Registry binding grants execution implicitly</w:t>
            </w:r>
          </w:p>
        </w:tc>
        <w:tc>
          <w:tcPr>
            <w:tcW w:type="dxa" w:w="7056"/>
            <w:vAlign w:val="center"/>
            <w:shd w:fill="F1F5F8"/>
          </w:tcPr>
          <w:p>
            <w:pPr>
              <w:spacing w:after="20"/>
            </w:pPr>
            <w:r/>
            <w:r>
              <w:rPr>
                <w:rFonts w:ascii="Aptos" w:hAnsi="Aptos"/>
                <w:b w:val="0"/>
                <w:sz w:val="16"/>
              </w:rPr>
              <w:t>Keep registration, compatibility, authorization and execution approval distinct.</w:t>
            </w:r>
          </w:p>
        </w:tc>
      </w:tr>
      <w:tr>
        <w:tc>
          <w:tcPr>
            <w:tcW w:type="dxa" w:w="3312"/>
            <w:vAlign w:val="center"/>
          </w:tcPr>
          <w:p>
            <w:pPr>
              <w:spacing w:after="20"/>
            </w:pPr>
            <w:r/>
            <w:r>
              <w:rPr>
                <w:rFonts w:ascii="Aptos" w:hAnsi="Aptos"/>
                <w:b w:val="0"/>
                <w:sz w:val="16"/>
              </w:rPr>
              <w:t>Client SDK static response treated as real backend result</w:t>
            </w:r>
          </w:p>
        </w:tc>
        <w:tc>
          <w:tcPr>
            <w:tcW w:type="dxa" w:w="7056"/>
            <w:vAlign w:val="center"/>
          </w:tcPr>
          <w:p>
            <w:pPr>
              <w:spacing w:after="20"/>
            </w:pPr>
            <w:r/>
            <w:r>
              <w:rPr>
                <w:rFonts w:ascii="Aptos" w:hAnsi="Aptos"/>
                <w:b w:val="0"/>
                <w:sz w:val="16"/>
              </w:rPr>
              <w:t>Record actual invocation boundary and evidence; label demonstrations explicitly.</w:t>
            </w:r>
          </w:p>
        </w:tc>
      </w:tr>
      <w:tr>
        <w:tc>
          <w:tcPr>
            <w:tcW w:type="dxa" w:w="3312"/>
            <w:vAlign w:val="center"/>
            <w:shd w:fill="F1F5F8"/>
          </w:tcPr>
          <w:p>
            <w:pPr>
              <w:spacing w:after="20"/>
            </w:pPr>
            <w:r/>
            <w:r>
              <w:rPr>
                <w:rFonts w:ascii="Aptos" w:hAnsi="Aptos"/>
                <w:b w:val="0"/>
                <w:sz w:val="16"/>
              </w:rPr>
              <w:t>Simulation represented as quantum hardware execution</w:t>
            </w:r>
          </w:p>
        </w:tc>
        <w:tc>
          <w:tcPr>
            <w:tcW w:type="dxa" w:w="7056"/>
            <w:vAlign w:val="center"/>
            <w:shd w:fill="F1F5F8"/>
          </w:tcPr>
          <w:p>
            <w:pPr>
              <w:spacing w:after="20"/>
            </w:pPr>
            <w:r/>
            <w:r>
              <w:rPr>
                <w:rFonts w:ascii="Aptos" w:hAnsi="Aptos"/>
                <w:b w:val="0"/>
                <w:sz w:val="16"/>
              </w:rPr>
              <w:t>Store execution_mode explicitly; prohibit unsupported physical-QPU claims.</w:t>
            </w:r>
          </w:p>
        </w:tc>
      </w:tr>
      <w:tr>
        <w:tc>
          <w:tcPr>
            <w:tcW w:type="dxa" w:w="3312"/>
            <w:vAlign w:val="center"/>
          </w:tcPr>
          <w:p>
            <w:pPr>
              <w:spacing w:after="20"/>
            </w:pPr>
            <w:r/>
            <w:r>
              <w:rPr>
                <w:rFonts w:ascii="Aptos" w:hAnsi="Aptos"/>
                <w:b w:val="0"/>
                <w:sz w:val="16"/>
              </w:rPr>
              <w:t>Scientific correctness assumed from code completion</w:t>
            </w:r>
          </w:p>
        </w:tc>
        <w:tc>
          <w:tcPr>
            <w:tcW w:type="dxa" w:w="7056"/>
            <w:vAlign w:val="center"/>
          </w:tcPr>
          <w:p>
            <w:pPr>
              <w:spacing w:after="20"/>
            </w:pPr>
            <w:r/>
            <w:r>
              <w:rPr>
                <w:rFonts w:ascii="Aptos" w:hAnsi="Aptos"/>
                <w:b w:val="0"/>
                <w:sz w:val="16"/>
              </w:rPr>
              <w:t>Separate execution completion from numerical and scientific validation.</w:t>
            </w:r>
          </w:p>
        </w:tc>
      </w:tr>
      <w:tr>
        <w:tc>
          <w:tcPr>
            <w:tcW w:type="dxa" w:w="3312"/>
            <w:vAlign w:val="center"/>
            <w:shd w:fill="F1F5F8"/>
          </w:tcPr>
          <w:p>
            <w:pPr>
              <w:spacing w:after="20"/>
            </w:pPr>
            <w:r/>
            <w:r>
              <w:rPr>
                <w:rFonts w:ascii="Aptos" w:hAnsi="Aptos"/>
                <w:b w:val="0"/>
                <w:sz w:val="16"/>
              </w:rPr>
              <w:t>Secret leakage in client/connector configuration</w:t>
            </w:r>
          </w:p>
        </w:tc>
        <w:tc>
          <w:tcPr>
            <w:tcW w:type="dxa" w:w="7056"/>
            <w:vAlign w:val="center"/>
            <w:shd w:fill="F1F5F8"/>
          </w:tcPr>
          <w:p>
            <w:pPr>
              <w:spacing w:after="20"/>
            </w:pPr>
            <w:r/>
            <w:r>
              <w:rPr>
                <w:rFonts w:ascii="Aptos" w:hAnsi="Aptos"/>
                <w:b w:val="0"/>
                <w:sz w:val="16"/>
              </w:rPr>
              <w:t>Use external secret references and keep credentials out of repositories and evidence artifacts.</w:t>
            </w:r>
          </w:p>
        </w:tc>
      </w:tr>
      <w:tr>
        <w:tc>
          <w:tcPr>
            <w:tcW w:type="dxa" w:w="3312"/>
            <w:vAlign w:val="center"/>
          </w:tcPr>
          <w:p>
            <w:pPr>
              <w:spacing w:after="20"/>
            </w:pPr>
            <w:r/>
            <w:r>
              <w:rPr>
                <w:rFonts w:ascii="Aptos" w:hAnsi="Aptos"/>
                <w:b w:val="0"/>
                <w:sz w:val="16"/>
              </w:rPr>
              <w:t>Premature scope expansion</w:t>
            </w:r>
          </w:p>
        </w:tc>
        <w:tc>
          <w:tcPr>
            <w:tcW w:type="dxa" w:w="7056"/>
            <w:vAlign w:val="center"/>
          </w:tcPr>
          <w:p>
            <w:pPr>
              <w:spacing w:after="20"/>
            </w:pPr>
            <w:r/>
            <w:r>
              <w:rPr>
                <w:rFonts w:ascii="Aptos" w:hAnsi="Aptos"/>
                <w:b w:val="0"/>
                <w:sz w:val="16"/>
              </w:rPr>
              <w:t>Start local-only; qualify remote runner, cloud, hybrid and physical backend paths independently.</w:t>
            </w:r>
          </w:p>
        </w:tc>
      </w:tr>
    </w:tbl>
    <w:p/>
    <w:p>
      <w:pPr>
        <w:pStyle w:val="Heading1"/>
      </w:pPr>
      <w:r>
        <w:t>7. Immediate Next Actions</w:t>
      </w:r>
    </w:p>
    <w:p>
      <w:pPr>
        <w:pStyle w:val="ListNumber"/>
        <w:spacing w:after="60"/>
      </w:pPr>
      <w:r>
        <w:t>Inspect bootstrapper/engine and search for actual registry, package resolver, Framework Registry loader, binding consumer and validation code.</w:t>
      </w:r>
    </w:p>
    <w:p>
      <w:pPr>
        <w:pStyle w:val="ListNumber"/>
        <w:spacing w:after="60"/>
      </w:pPr>
      <w:r>
        <w:t>Inspect pauli3.py to verify the single-qubit Pauli matrices and identities used by the Hamiltonian.</w:t>
      </w:r>
    </w:p>
    <w:p>
      <w:pPr>
        <w:pStyle w:val="ListNumber"/>
        <w:spacing w:after="60"/>
      </w:pPr>
      <w:r>
        <w:t>Write and review a small integration specification and provisional manifest/binding before coding.</w:t>
      </w:r>
    </w:p>
    <w:p>
      <w:pPr>
        <w:pStyle w:val="ListNumber"/>
        <w:spacing w:after="60"/>
      </w:pPr>
      <w:r>
        <w:t>Implement and test dry-run resolution before any execution path.</w:t>
      </w:r>
    </w:p>
    <w:p>
      <w:pPr>
        <w:pStyle w:val="ListNumber"/>
        <w:spacing w:after="60"/>
      </w:pPr>
      <w:r>
        <w:t>Add a local-only adapter and structured evidence only after the resolver boundary is confirmed.</w:t>
      </w:r>
    </w:p>
    <w:p>
      <w:pPr>
        <w:pStyle w:val="ListNumber"/>
        <w:spacing w:after="60"/>
      </w:pPr>
      <w:r>
        <w:t>Keep the notebook, FAEP SDK and research experiment as separate reference artifacts unless an explicit contract calls for integration.</w:t>
      </w:r>
    </w:p>
    <w:p>
      <w:pPr>
        <w:pStyle w:val="Heading1"/>
      </w:pPr>
      <w:r>
        <w:t>8. Repository Reference Paths</w:t>
      </w:r>
    </w:p>
    <w:p>
      <w:pPr>
        <w:pStyle w:val="ListBullet"/>
        <w:spacing w:after="40"/>
      </w:pPr>
      <w:r>
        <w:t>E:\Bhadale IT\github\holdco\general_factory\registry\README.md</w:t>
      </w:r>
    </w:p>
    <w:p>
      <w:pPr>
        <w:pStyle w:val="ListBullet"/>
        <w:spacing w:after="40"/>
      </w:pPr>
      <w:r>
        <w:t>E:\Bhadale IT\github\holdco\general_factory\registry\runtime_bindings.json</w:t>
      </w:r>
    </w:p>
    <w:p>
      <w:pPr>
        <w:pStyle w:val="ListBullet"/>
        <w:spacing w:after="40"/>
      </w:pPr>
      <w:r>
        <w:t>E:\Bhadale IT\github\holdco\general_factory\integration_slice_0.md</w:t>
      </w:r>
    </w:p>
    <w:p>
      <w:pPr>
        <w:pStyle w:val="ListBullet"/>
        <w:spacing w:after="40"/>
      </w:pPr>
      <w:r>
        <w:t>E:\Bhadale IT\github\holdco\general_factory\adapters\README.md</w:t>
      </w:r>
    </w:p>
    <w:p>
      <w:pPr>
        <w:pStyle w:val="ListBullet"/>
        <w:spacing w:after="40"/>
      </w:pPr>
      <w:r>
        <w:t>E:\Bhadale IT\github\holdco\general_factory\connectors\README.md</w:t>
      </w:r>
    </w:p>
    <w:p>
      <w:pPr>
        <w:pStyle w:val="ListBullet"/>
        <w:spacing w:after="40"/>
      </w:pPr>
      <w:r>
        <w:t>E:\Bhadale IT\github\holdco\general_factory\factory_core\README.md</w:t>
      </w:r>
    </w:p>
    <w:p>
      <w:pPr>
        <w:pStyle w:val="ListBullet"/>
        <w:spacing w:after="40"/>
      </w:pPr>
      <w:r>
        <w:t>E:\Bhadale IT\github\holdco\general_factory\framework_runtime\README.md</w:t>
      </w:r>
    </w:p>
    <w:p>
      <w:pPr>
        <w:pStyle w:val="ListBullet"/>
        <w:spacing w:after="40"/>
      </w:pPr>
      <w:r>
        <w:t>E:\Bhadale IT\github\holdco\general_factory\interfaces\README.md</w:t>
      </w:r>
    </w:p>
    <w:p>
      <w:pPr>
        <w:pStyle w:val="ListBullet"/>
        <w:spacing w:after="40"/>
      </w:pPr>
      <w:r>
        <w:t>E:\Bhadale IT\github\holdco\general_factory\asset_runtime\README.md</w:t>
      </w:r>
    </w:p>
    <w:p>
      <w:pPr>
        <w:pStyle w:val="ListBullet"/>
        <w:spacing w:after="40"/>
      </w:pPr>
      <w:r>
        <w:t>E:\Bhadale IT\github\holdco\general_factory\post_pilot_assets\README.md</w:t>
      </w:r>
    </w:p>
    <w:p>
      <w:pPr>
        <w:pStyle w:val="ListBullet"/>
        <w:spacing w:after="40"/>
      </w:pPr>
      <w:r>
        <w:t>E:\Bhadale IT\github\holdco\general_factory\post_pilot_assets\client\README.md</w:t>
      </w:r>
    </w:p>
    <w:p>
      <w:pPr>
        <w:pStyle w:val="ListBullet"/>
        <w:spacing w:after="40"/>
      </w:pPr>
      <w:r>
        <w:t>E:\Bhadale IT\github\holdco\general_factory\post_pilot_assets\bootstrapper\deployment\Invoke-GeneralFactoryBootstrapper.ps1</w:t>
      </w:r>
    </w:p>
    <w:p>
      <w:pPr>
        <w:pStyle w:val="ListBullet"/>
        <w:spacing w:after="40"/>
      </w:pPr>
      <w:r>
        <w:t>E:\Bhadale IT\github\holdco\general_factory\post_pilot_assets\bootstrapper\configuration\bootstrap.yaml</w:t>
      </w:r>
    </w:p>
    <w:p>
      <w:pPr>
        <w:pStyle w:val="ListBullet"/>
        <w:spacing w:after="40"/>
      </w:pPr>
      <w:r>
        <w:t>E:\Bhadale IT\github\holdco\general_factory\post_pilot_assets\bootstrapper\profiles\virtual-development.yaml</w:t>
      </w:r>
    </w:p>
    <w:p>
      <w:pPr>
        <w:pStyle w:val="ListBullet"/>
        <w:spacing w:after="40"/>
      </w:pPr>
      <w:r>
        <w:t>E:\Bhadale IT\github\holdco\general_factory\post_pilot_assets\bootstrapper\packages\qai_platform.yaml</w:t>
      </w:r>
    </w:p>
    <w:p>
      <w:pPr>
        <w:pStyle w:val="ListBullet"/>
        <w:spacing w:after="40"/>
      </w:pPr>
      <w:r>
        <w:t>E:\Bhadale IT\github\holdco\general_factory\post_pilot_assets\bootstrapper\packages\software_engineering.yaml</w:t>
      </w:r>
    </w:p>
    <w:p>
      <w:pPr>
        <w:pStyle w:val="ListBullet"/>
        <w:spacing w:after="40"/>
      </w:pPr>
      <w:r>
        <w:t>E:\Bhadale IT\github\holdco\general_factory\post_pilot_assets\bootstrapper\packages\systems_engineering.yaml</w:t>
      </w:r>
    </w:p>
    <w:p>
      <w:pPr>
        <w:pStyle w:val="ListBullet"/>
        <w:spacing w:after="40"/>
      </w:pPr>
      <w:r>
        <w:t>E:\Bhadale IT\github\faep-client-lab\client_sdk\faep\client.py</w:t>
      </w:r>
    </w:p>
    <w:p>
      <w:pPr>
        <w:pStyle w:val="ListBullet"/>
        <w:spacing w:after="40"/>
      </w:pPr>
      <w:r>
        <w:t>E:\Bhadale IT\github\faep-client-lab\client_sdk\faep\__init__.py</w:t>
      </w:r>
    </w:p>
    <w:p>
      <w:pPr>
        <w:pStyle w:val="ListBullet"/>
        <w:spacing w:after="40"/>
      </w:pPr>
      <w:r>
        <w:t>E:\Bhadale IT\gitlab\00_holdco_factory\factory\run_qai_demo.py</w:t>
      </w:r>
    </w:p>
    <w:p>
      <w:pPr>
        <w:pStyle w:val="ListBullet"/>
        <w:spacing w:after="40"/>
      </w:pPr>
      <w:r>
        <w:t>E:\Bhadale IT\gitlab\00_holdco_factory\factory_pillars\03_research\quantum_simulation\demos\qai_lab_demo\qai_quantum_demo.py</w:t>
      </w:r>
    </w:p>
    <w:p>
      <w:pPr>
        <w:pStyle w:val="ListBullet"/>
        <w:spacing w:after="40"/>
      </w:pPr>
      <w:r>
        <w:t>E:\Bhadale IT\gitlab\00_holdco_factory\factory_pillars\03_research\quantum_simulation\phase3_multi_qubit\three_qubit\stability3.py</w:t>
      </w:r>
    </w:p>
    <w:p>
      <w:pPr>
        <w:pStyle w:val="ListBullet"/>
        <w:spacing w:after="40"/>
      </w:pPr>
      <w:r>
        <w:t>E:\Bhadale IT\gitlab\00_holdco_factory\factory_pillars\03_research\quantum_simulation\phase3_multi_qubit\three_qubit\hamiltonian3.py</w:t>
      </w:r>
    </w:p>
    <w:p>
      <w:pPr>
        <w:pStyle w:val="ListBullet"/>
        <w:spacing w:after="40"/>
      </w:pPr>
      <w:r>
        <w:t>E:\Bhadale IT\gitlab\00_holdco_factory\factory_pillars\03_research\quantum_simulation\phase3_multi_qubit\three_qubit\evolution3.py</w:t>
      </w:r>
    </w:p>
    <w:p>
      <w:pPr>
        <w:pStyle w:val="ListBullet"/>
        <w:spacing w:after="40"/>
      </w:pPr>
      <w:r>
        <w:t>E:\Bhadale IT\gitlab\00_holdco_factory\factory_pillars\03_research\quantum_simulation\phase3_multi_qubit\three_qubit\density3.py</w:t>
      </w:r>
    </w:p>
    <w:p>
      <w:pPr>
        <w:pStyle w:val="ListBullet"/>
        <w:spacing w:after="40"/>
      </w:pPr>
      <w:r>
        <w:t>E:\Bhadale IT\gitlab\00_holdco_factory\factory_pillars\03_research\quantum_simulation\phase3_multi_qubit\three_qubit\entropy3.py</w:t>
      </w:r>
    </w:p>
    <w:p>
      <w:pPr>
        <w:pStyle w:val="ListBullet"/>
        <w:spacing w:after="40"/>
      </w:pPr>
      <w:r>
        <w:t>E:\Bhadale IT\gitlab\00_holdco_factory\factory_pillars\03_research\quantum_simulation\phase3_multi_qubit\three_qubit\tensor3.py</w:t>
      </w:r>
    </w:p>
    <w:p/>
    <w:p>
      <w:pPr>
        <w:jc w:val="center"/>
      </w:pPr>
      <w:r>
        <w:rPr>
          <w:i/>
          <w:color w:val="64737D"/>
        </w:rPr>
        <w:t>End of reference document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Engineering reference • Read-only review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A6E7D"/>
      </w:rPr>
      <w:t>GENERAL FACTORY  |  QAI REFERENCE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41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98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4B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41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