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7365D"/>
          <w:sz w:val="54"/>
        </w:rPr>
        <w:t>QAI Lab Post-Pilot</w:t>
      </w:r>
    </w:p>
    <w:p>
      <w:pPr>
        <w:jc w:val="center"/>
      </w:pPr>
      <w:r>
        <w:rPr>
          <w:b/>
          <w:color w:val="24527A"/>
          <w:sz w:val="42"/>
        </w:rPr>
        <w:t>VS Code Development Plan</w:t>
      </w:r>
    </w:p>
    <w:p>
      <w:pPr>
        <w:jc w:val="center"/>
      </w:pPr>
      <w:r>
        <w:rPr>
          <w:i/>
          <w:color w:val="505A64"/>
          <w:sz w:val="24"/>
        </w:rPr>
        <w:t>Minimal changes • Minimal tests • One end-to-end Agriculture use case</w:t>
      </w:r>
    </w:p>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20"/>
            </w:pPr>
            <w:r/>
            <w:r>
              <w:rPr>
                <w:rFonts w:ascii="Aptos" w:hAnsi="Aptos"/>
                <w:b/>
                <w:color w:val="FFFFFF"/>
                <w:sz w:val="17"/>
              </w:rPr>
              <w:t>Document control</w:t>
            </w:r>
          </w:p>
        </w:tc>
        <w:tc>
          <w:tcPr>
            <w:tcW w:type="dxa" w:w="8352"/>
            <w:vAlign w:val="center"/>
            <w:shd w:fill="17365D"/>
          </w:tcPr>
          <w:p>
            <w:pPr>
              <w:spacing w:after="20"/>
            </w:pPr>
            <w:r/>
            <w:r>
              <w:rPr>
                <w:rFonts w:ascii="Aptos" w:hAnsi="Aptos"/>
                <w:b/>
                <w:color w:val="FFFFFF"/>
                <w:sz w:val="17"/>
              </w:rPr>
              <w:t>Value</w:t>
            </w:r>
          </w:p>
        </w:tc>
      </w:tr>
      <w:tr>
        <w:tc>
          <w:tcPr>
            <w:tcW w:type="dxa" w:w="2304"/>
            <w:vAlign w:val="center"/>
          </w:tcPr>
          <w:p>
            <w:pPr>
              <w:spacing w:after="20"/>
            </w:pPr>
            <w:r/>
            <w:r>
              <w:rPr>
                <w:rFonts w:ascii="Aptos" w:hAnsi="Aptos"/>
                <w:b w:val="0"/>
                <w:sz w:val="16"/>
              </w:rPr>
              <w:t>Purpose</w:t>
            </w:r>
          </w:p>
        </w:tc>
        <w:tc>
          <w:tcPr>
            <w:tcW w:type="dxa" w:w="8352"/>
            <w:vAlign w:val="center"/>
          </w:tcPr>
          <w:p>
            <w:pPr>
              <w:spacing w:after="20"/>
            </w:pPr>
            <w:r/>
            <w:r>
              <w:rPr>
                <w:rFonts w:ascii="Aptos" w:hAnsi="Aptos"/>
                <w:b w:val="0"/>
                <w:sz w:val="16"/>
              </w:rPr>
              <w:t>Consolidate recent architecture discussions, test results, and post-pilot plans into an actionable VS Code implementation sequence.</w:t>
            </w:r>
          </w:p>
        </w:tc>
      </w:tr>
      <w:tr>
        <w:tc>
          <w:tcPr>
            <w:tcW w:type="dxa" w:w="2304"/>
            <w:vAlign w:val="center"/>
            <w:shd w:fill="F2F6FA"/>
          </w:tcPr>
          <w:p>
            <w:pPr>
              <w:spacing w:after="20"/>
            </w:pPr>
            <w:r/>
            <w:r>
              <w:rPr>
                <w:rFonts w:ascii="Aptos" w:hAnsi="Aptos"/>
                <w:b w:val="0"/>
                <w:sz w:val="16"/>
              </w:rPr>
              <w:t>Baseline capability</w:t>
            </w:r>
          </w:p>
        </w:tc>
        <w:tc>
          <w:tcPr>
            <w:tcW w:type="dxa" w:w="8352"/>
            <w:vAlign w:val="center"/>
            <w:shd w:fill="F2F6FA"/>
          </w:tcPr>
          <w:p>
            <w:pPr>
              <w:spacing w:after="20"/>
            </w:pPr>
            <w:r/>
            <w:r>
              <w:rPr>
                <w:rFonts w:ascii="Aptos" w:hAnsi="Aptos"/>
                <w:b w:val="0"/>
                <w:sz w:val="16"/>
              </w:rPr>
              <w:t>QAI_EXPERIMENT_EXECUTION (existing reference identity; verify registry contract before changing bindings).</w:t>
            </w:r>
          </w:p>
        </w:tc>
      </w:tr>
      <w:tr>
        <w:tc>
          <w:tcPr>
            <w:tcW w:type="dxa" w:w="2304"/>
            <w:vAlign w:val="center"/>
          </w:tcPr>
          <w:p>
            <w:pPr>
              <w:spacing w:after="20"/>
            </w:pPr>
            <w:r/>
            <w:r>
              <w:rPr>
                <w:rFonts w:ascii="Aptos" w:hAnsi="Aptos"/>
                <w:b w:val="0"/>
                <w:sz w:val="16"/>
              </w:rPr>
              <w:t>Primary sample</w:t>
            </w:r>
          </w:p>
        </w:tc>
        <w:tc>
          <w:tcPr>
            <w:tcW w:type="dxa" w:w="8352"/>
            <w:vAlign w:val="center"/>
          </w:tcPr>
          <w:p>
            <w:pPr>
              <w:spacing w:after="20"/>
            </w:pPr>
            <w:r/>
            <w:r>
              <w:rPr>
                <w:rFonts w:ascii="Aptos" w:hAnsi="Aptos"/>
                <w:b w:val="0"/>
                <w:sz w:val="16"/>
              </w:rPr>
              <w:t>QAI Agriculture Optimization Phase 3–12 notebook, reused selectively as a template/reference.</w:t>
            </w:r>
          </w:p>
        </w:tc>
      </w:tr>
      <w:tr>
        <w:tc>
          <w:tcPr>
            <w:tcW w:type="dxa" w:w="2304"/>
            <w:vAlign w:val="center"/>
            <w:shd w:fill="F2F6FA"/>
          </w:tcPr>
          <w:p>
            <w:pPr>
              <w:spacing w:after="20"/>
            </w:pPr>
            <w:r/>
            <w:r>
              <w:rPr>
                <w:rFonts w:ascii="Aptos" w:hAnsi="Aptos"/>
                <w:b w:val="0"/>
                <w:sz w:val="16"/>
              </w:rPr>
              <w:t>Implementation stance</w:t>
            </w:r>
          </w:p>
        </w:tc>
        <w:tc>
          <w:tcPr>
            <w:tcW w:type="dxa" w:w="8352"/>
            <w:vAlign w:val="center"/>
            <w:shd w:fill="F2F6FA"/>
          </w:tcPr>
          <w:p>
            <w:pPr>
              <w:spacing w:after="20"/>
            </w:pPr>
            <w:r/>
            <w:r>
              <w:rPr>
                <w:rFonts w:ascii="Aptos" w:hAnsi="Aptos"/>
                <w:b w:val="0"/>
                <w:sz w:val="16"/>
              </w:rPr>
              <w:t>Local-first, simulation-only, registry-driven where supported; no production integration claims.</w:t>
            </w:r>
          </w:p>
        </w:tc>
      </w:tr>
      <w:tr>
        <w:tc>
          <w:tcPr>
            <w:tcW w:type="dxa" w:w="2304"/>
            <w:vAlign w:val="center"/>
          </w:tcPr>
          <w:p>
            <w:pPr>
              <w:spacing w:after="20"/>
            </w:pPr>
            <w:r/>
            <w:r>
              <w:rPr>
                <w:rFonts w:ascii="Aptos" w:hAnsi="Aptos"/>
                <w:b w:val="0"/>
                <w:sz w:val="16"/>
              </w:rPr>
              <w:t>Status</w:t>
            </w:r>
          </w:p>
        </w:tc>
        <w:tc>
          <w:tcPr>
            <w:tcW w:type="dxa" w:w="8352"/>
            <w:vAlign w:val="center"/>
          </w:tcPr>
          <w:p>
            <w:pPr>
              <w:spacing w:after="20"/>
            </w:pPr>
            <w:r/>
            <w:r>
              <w:rPr>
                <w:rFonts w:ascii="Aptos" w:hAnsi="Aptos"/>
                <w:b w:val="0"/>
                <w:sz w:val="16"/>
              </w:rPr>
              <w:t>Proposed working baseline for implementation; not a claim that the end-to-end path already works.</w:t>
            </w:r>
          </w:p>
        </w:tc>
      </w:tr>
    </w:tbl>
    <w:p>
      <w:pPr>
        <w:spacing w:after="20"/>
      </w:pPr>
    </w:p>
    <w:p/>
    <w:p>
      <w:pPr>
        <w:jc w:val="center"/>
      </w:pPr>
      <w:r>
        <w:rPr>
          <w:b/>
          <w:color w:val="17365D"/>
          <w:sz w:val="22"/>
        </w:rPr>
        <w:t>Decision principle: prove one complete execution path before adding platform features.</w:t>
      </w:r>
    </w:p>
    <w:p>
      <w:r>
        <w:br w:type="page"/>
      </w:r>
    </w:p>
    <w:p>
      <w:pPr>
        <w:pStyle w:val="Heading1"/>
      </w:pPr>
      <w:r>
        <w:t>1. Executive decision</w:t>
      </w:r>
    </w:p>
    <w:p>
      <w:r>
        <w:t>The post-pilot objective is to progress from a notebook-based pilot pattern to a small, reusable QAI Lab reference implementation. The first increment should prove that one experiment can be defined, validated, resolved to an implementation, run in a controlled local simulation, and produce a traceable result/evidence record. It is not a build-out of the entire QAI Lab ecosystem.</w:t>
      </w:r>
    </w:p>
    <w:p>
      <w:pPr>
        <w:pStyle w:val="ListBullet"/>
        <w:spacing w:after="40"/>
      </w:pPr>
      <w:r>
        <w:t>Keep the General Framework as the source of logical capability and contract meaning; the General Factory owns implementation resolution and execution.</w:t>
      </w:r>
    </w:p>
    <w:p>
      <w:pPr>
        <w:pStyle w:val="ListBullet"/>
        <w:spacing w:after="40"/>
      </w:pPr>
      <w:r>
        <w:t>Reuse the agriculture notebook selectively. It is a template/reference and its Phase 12 content explicitly records references/manifests/placeholders rather than physically assembling or transferring delivery files.</w:t>
      </w:r>
    </w:p>
    <w:p>
      <w:pPr>
        <w:pStyle w:val="ListBullet"/>
        <w:spacing w:after="40"/>
      </w:pPr>
      <w:r>
        <w:t>Retain the existing `QAI_EXPERIMENT_EXECUTION` reference identity and manifest unless repository inspection shows a contract mismatch.</w:t>
      </w:r>
    </w:p>
    <w:p>
      <w:pPr>
        <w:pStyle w:val="ListBullet"/>
        <w:spacing w:after="40"/>
      </w:pPr>
      <w:r>
        <w:t>Do not integrate the Registry Resolver Adapter into production assets during this first slice.</w:t>
      </w:r>
    </w:p>
    <w:p>
      <w:pPr>
        <w:pStyle w:val="ListBullet"/>
        <w:spacing w:after="40"/>
      </w:pPr>
      <w:r>
        <w:t>Do not build a GUI, full workflow engine, dynamic discovery, resource scheduler, remote runner integration, SaaS, or physical quantum execution to claim the first use case.</w:t>
      </w:r>
    </w:p>
    <w:p>
      <w:pPr>
        <w:pStyle w:val="ListBullet"/>
        <w:spacing w:after="40"/>
      </w:pPr>
      <w:r>
        <w:t>Use minimal tests: one end-to-end happy path and only the most important pre-execution rejection/failure check, while retaining existing focused regression tests.</w:t>
      </w:r>
    </w:p>
    <w:p>
      <w:pPr>
        <w:pStyle w:val="Heading1"/>
      </w:pPr>
      <w:r>
        <w:t>2. What the recent review and tests established</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7365D"/>
          </w:tcPr>
          <w:p>
            <w:pPr>
              <w:spacing w:after="20"/>
            </w:pPr>
            <w:r/>
            <w:r>
              <w:rPr>
                <w:rFonts w:ascii="Aptos" w:hAnsi="Aptos"/>
                <w:b/>
                <w:color w:val="FFFFFF"/>
                <w:sz w:val="17"/>
              </w:rPr>
              <w:t>Area</w:t>
            </w:r>
          </w:p>
        </w:tc>
        <w:tc>
          <w:tcPr>
            <w:tcW w:type="dxa" w:w="3456"/>
            <w:vAlign w:val="center"/>
            <w:shd w:fill="17365D"/>
          </w:tcPr>
          <w:p>
            <w:pPr>
              <w:spacing w:after="20"/>
            </w:pPr>
            <w:r/>
            <w:r>
              <w:rPr>
                <w:rFonts w:ascii="Aptos" w:hAnsi="Aptos"/>
                <w:b/>
                <w:color w:val="FFFFFF"/>
                <w:sz w:val="17"/>
              </w:rPr>
              <w:t>Observed status</w:t>
            </w:r>
          </w:p>
        </w:tc>
        <w:tc>
          <w:tcPr>
            <w:tcW w:type="dxa" w:w="4968"/>
            <w:vAlign w:val="center"/>
            <w:shd w:fill="17365D"/>
          </w:tcPr>
          <w:p>
            <w:pPr>
              <w:spacing w:after="20"/>
            </w:pPr>
            <w:r/>
            <w:r>
              <w:rPr>
                <w:rFonts w:ascii="Aptos" w:hAnsi="Aptos"/>
                <w:b/>
                <w:color w:val="FFFFFF"/>
                <w:sz w:val="17"/>
              </w:rPr>
              <w:t>Implication for the plan</w:t>
            </w:r>
          </w:p>
        </w:tc>
      </w:tr>
      <w:tr>
        <w:tc>
          <w:tcPr>
            <w:tcW w:type="dxa" w:w="2232"/>
            <w:vAlign w:val="center"/>
          </w:tcPr>
          <w:p>
            <w:pPr>
              <w:spacing w:after="20"/>
            </w:pPr>
            <w:r/>
            <w:r>
              <w:rPr>
                <w:rFonts w:ascii="Aptos" w:hAnsi="Aptos"/>
                <w:b w:val="0"/>
                <w:sz w:val="16"/>
              </w:rPr>
              <w:t>Evidence-reference validator</w:t>
            </w:r>
          </w:p>
        </w:tc>
        <w:tc>
          <w:tcPr>
            <w:tcW w:type="dxa" w:w="3456"/>
            <w:vAlign w:val="center"/>
          </w:tcPr>
          <w:p>
            <w:pPr>
              <w:spacing w:after="20"/>
            </w:pPr>
            <w:r/>
            <w:r>
              <w:rPr>
                <w:rFonts w:ascii="Aptos" w:hAnsi="Aptos"/>
                <w:b w:val="0"/>
                <w:sz w:val="16"/>
              </w:rPr>
              <w:t>Focused suite: 20 passed, 0 failed.</w:t>
            </w:r>
          </w:p>
        </w:tc>
        <w:tc>
          <w:tcPr>
            <w:tcW w:type="dxa" w:w="4968"/>
            <w:vAlign w:val="center"/>
          </w:tcPr>
          <w:p>
            <w:pPr>
              <w:spacing w:after="20"/>
            </w:pPr>
            <w:r/>
            <w:r>
              <w:rPr>
                <w:rFonts w:ascii="Aptos" w:hAnsi="Aptos"/>
                <w:b w:val="0"/>
                <w:sz w:val="16"/>
              </w:rPr>
              <w:t>Treat this as a closed validation increment; do not expand it without a new defect or requirement.</w:t>
            </w:r>
          </w:p>
        </w:tc>
      </w:tr>
      <w:tr>
        <w:tc>
          <w:tcPr>
            <w:tcW w:type="dxa" w:w="2232"/>
            <w:vAlign w:val="center"/>
            <w:shd w:fill="F2F6FA"/>
          </w:tcPr>
          <w:p>
            <w:pPr>
              <w:spacing w:after="20"/>
            </w:pPr>
            <w:r/>
            <w:r>
              <w:rPr>
                <w:rFonts w:ascii="Aptos" w:hAnsi="Aptos"/>
                <w:b w:val="0"/>
                <w:sz w:val="16"/>
              </w:rPr>
              <w:t>Broader regression suites</w:t>
            </w:r>
          </w:p>
        </w:tc>
        <w:tc>
          <w:tcPr>
            <w:tcW w:type="dxa" w:w="3456"/>
            <w:vAlign w:val="center"/>
            <w:shd w:fill="F2F6FA"/>
          </w:tcPr>
          <w:p>
            <w:pPr>
              <w:spacing w:after="20"/>
            </w:pPr>
            <w:r/>
            <w:r>
              <w:rPr>
                <w:rFonts w:ascii="Aptos" w:hAnsi="Aptos"/>
                <w:b w:val="0"/>
                <w:sz w:val="16"/>
              </w:rPr>
              <w:t>Previously reported six suites passed (81/81); combined with focused suite, 101 checks were reported passing.</w:t>
            </w:r>
          </w:p>
        </w:tc>
        <w:tc>
          <w:tcPr>
            <w:tcW w:type="dxa" w:w="4968"/>
            <w:vAlign w:val="center"/>
            <w:shd w:fill="F2F6FA"/>
          </w:tcPr>
          <w:p>
            <w:pPr>
              <w:spacing w:after="20"/>
            </w:pPr>
            <w:r/>
            <w:r>
              <w:rPr>
                <w:rFonts w:ascii="Aptos" w:hAnsi="Aptos"/>
                <w:b w:val="0"/>
                <w:sz w:val="16"/>
              </w:rPr>
              <w:t>Retain as regression evidence; do not rerun unchanged suites without a reason.</w:t>
            </w:r>
          </w:p>
        </w:tc>
      </w:tr>
      <w:tr>
        <w:tc>
          <w:tcPr>
            <w:tcW w:type="dxa" w:w="2232"/>
            <w:vAlign w:val="center"/>
          </w:tcPr>
          <w:p>
            <w:pPr>
              <w:spacing w:after="20"/>
            </w:pPr>
            <w:r/>
            <w:r>
              <w:rPr>
                <w:rFonts w:ascii="Aptos" w:hAnsi="Aptos"/>
                <w:b w:val="0"/>
                <w:sz w:val="16"/>
              </w:rPr>
              <w:t>Hash failure behavior</w:t>
            </w:r>
          </w:p>
        </w:tc>
        <w:tc>
          <w:tcPr>
            <w:tcW w:type="dxa" w:w="3456"/>
            <w:vAlign w:val="center"/>
          </w:tcPr>
          <w:p>
            <w:pPr>
              <w:spacing w:after="20"/>
            </w:pPr>
            <w:r/>
            <w:r>
              <w:rPr>
                <w:rFonts w:ascii="Aptos" w:hAnsi="Aptos"/>
                <w:b w:val="0"/>
                <w:sz w:val="16"/>
              </w:rPr>
              <w:t>Synthetic Get-FileHash failure propagated; no successful result was returned.</w:t>
            </w:r>
          </w:p>
        </w:tc>
        <w:tc>
          <w:tcPr>
            <w:tcW w:type="dxa" w:w="4968"/>
            <w:vAlign w:val="center"/>
          </w:tcPr>
          <w:p>
            <w:pPr>
              <w:spacing w:after="20"/>
            </w:pPr>
            <w:r/>
            <w:r>
              <w:rPr>
                <w:rFonts w:ascii="Aptos" w:hAnsi="Aptos"/>
                <w:b w:val="0"/>
                <w:sz w:val="16"/>
              </w:rPr>
              <w:t>Existing fail-closed behavior is consistent with the documented policy.</w:t>
            </w:r>
          </w:p>
        </w:tc>
      </w:tr>
      <w:tr>
        <w:tc>
          <w:tcPr>
            <w:tcW w:type="dxa" w:w="2232"/>
            <w:vAlign w:val="center"/>
            <w:shd w:fill="F2F6FA"/>
          </w:tcPr>
          <w:p>
            <w:pPr>
              <w:spacing w:after="20"/>
            </w:pPr>
            <w:r/>
            <w:r>
              <w:rPr>
                <w:rFonts w:ascii="Aptos" w:hAnsi="Aptos"/>
                <w:b w:val="0"/>
                <w:sz w:val="16"/>
              </w:rPr>
              <w:t>Git state</w:t>
            </w:r>
          </w:p>
        </w:tc>
        <w:tc>
          <w:tcPr>
            <w:tcW w:type="dxa" w:w="3456"/>
            <w:vAlign w:val="center"/>
            <w:shd w:fill="F2F6FA"/>
          </w:tcPr>
          <w:p>
            <w:pPr>
              <w:spacing w:after="20"/>
            </w:pPr>
            <w:r/>
            <w:r>
              <w:rPr>
                <w:rFonts w:ascii="Aptos" w:hAnsi="Aptos"/>
                <w:b w:val="0"/>
                <w:sz w:val="16"/>
              </w:rPr>
              <w:t>Local main matched origin/main; six dated .bak files remain untracked.</w:t>
            </w:r>
          </w:p>
        </w:tc>
        <w:tc>
          <w:tcPr>
            <w:tcW w:type="dxa" w:w="4968"/>
            <w:vAlign w:val="center"/>
            <w:shd w:fill="F2F6FA"/>
          </w:tcPr>
          <w:p>
            <w:pPr>
              <w:spacing w:after="20"/>
            </w:pPr>
            <w:r/>
            <w:r>
              <w:rPr>
                <w:rFonts w:ascii="Aptos" w:hAnsi="Aptos"/>
                <w:b w:val="0"/>
                <w:sz w:val="16"/>
              </w:rPr>
              <w:t>Leave backup files untouched and out of commits.</w:t>
            </w:r>
          </w:p>
        </w:tc>
      </w:tr>
      <w:tr>
        <w:tc>
          <w:tcPr>
            <w:tcW w:type="dxa" w:w="2232"/>
            <w:vAlign w:val="center"/>
          </w:tcPr>
          <w:p>
            <w:pPr>
              <w:spacing w:after="20"/>
            </w:pPr>
            <w:r/>
            <w:r>
              <w:rPr>
                <w:rFonts w:ascii="Aptos" w:hAnsi="Aptos"/>
                <w:b w:val="0"/>
                <w:sz w:val="16"/>
              </w:rPr>
              <w:t>Registry Resolver</w:t>
            </w:r>
          </w:p>
        </w:tc>
        <w:tc>
          <w:tcPr>
            <w:tcW w:type="dxa" w:w="3456"/>
            <w:vAlign w:val="center"/>
          </w:tcPr>
          <w:p>
            <w:pPr>
              <w:spacing w:after="20"/>
            </w:pPr>
            <w:r/>
            <w:r>
              <w:rPr>
                <w:rFonts w:ascii="Aptos" w:hAnsi="Aptos"/>
                <w:b w:val="0"/>
                <w:sz w:val="16"/>
              </w:rPr>
              <w:t>Standalone hardening and URI validation committed; adapter integration deliberately deferred.</w:t>
            </w:r>
          </w:p>
        </w:tc>
        <w:tc>
          <w:tcPr>
            <w:tcW w:type="dxa" w:w="4968"/>
            <w:vAlign w:val="center"/>
          </w:tcPr>
          <w:p>
            <w:pPr>
              <w:spacing w:after="20"/>
            </w:pPr>
            <w:r/>
            <w:r>
              <w:rPr>
                <w:rFonts w:ascii="Aptos" w:hAnsi="Aptos"/>
                <w:b w:val="0"/>
                <w:sz w:val="16"/>
              </w:rPr>
              <w:t>Use the existing resolver contracts only after inspecting the actual consumers; do not add another resolver by assumption.</w:t>
            </w:r>
          </w:p>
        </w:tc>
      </w:tr>
      <w:tr>
        <w:tc>
          <w:tcPr>
            <w:tcW w:type="dxa" w:w="2232"/>
            <w:vAlign w:val="center"/>
            <w:shd w:fill="F2F6FA"/>
          </w:tcPr>
          <w:p>
            <w:pPr>
              <w:spacing w:after="20"/>
            </w:pPr>
            <w:r/>
            <w:r>
              <w:rPr>
                <w:rFonts w:ascii="Aptos" w:hAnsi="Aptos"/>
                <w:b w:val="0"/>
                <w:sz w:val="16"/>
              </w:rPr>
              <w:t>QAI Lab pipeline notebook reference</w:t>
            </w:r>
          </w:p>
        </w:tc>
        <w:tc>
          <w:tcPr>
            <w:tcW w:type="dxa" w:w="3456"/>
            <w:vAlign w:val="center"/>
            <w:shd w:fill="F2F6FA"/>
          </w:tcPr>
          <w:p>
            <w:pPr>
              <w:spacing w:after="20"/>
            </w:pPr>
            <w:r/>
            <w:r>
              <w:rPr>
                <w:rFonts w:ascii="Aptos" w:hAnsi="Aptos"/>
                <w:b w:val="0"/>
                <w:sz w:val="16"/>
              </w:rPr>
              <w:t>Manifest labels it REFERENCE / integration_candidate and requires an interface plus dry-run-before-execution.</w:t>
            </w:r>
          </w:p>
        </w:tc>
        <w:tc>
          <w:tcPr>
            <w:tcW w:type="dxa" w:w="4968"/>
            <w:vAlign w:val="center"/>
            <w:shd w:fill="F2F6FA"/>
          </w:tcPr>
          <w:p>
            <w:pPr>
              <w:spacing w:after="20"/>
            </w:pPr>
            <w:r/>
            <w:r>
              <w:rPr>
                <w:rFonts w:ascii="Aptos" w:hAnsi="Aptos"/>
                <w:b w:val="0"/>
                <w:sz w:val="16"/>
              </w:rPr>
              <w:t>The documented path is intended architecture, not proof of a working GitLab Runner-to-notebook invocation.</w:t>
            </w:r>
          </w:p>
        </w:tc>
      </w:tr>
      <w:tr>
        <w:tc>
          <w:tcPr>
            <w:tcW w:type="dxa" w:w="2232"/>
            <w:vAlign w:val="center"/>
          </w:tcPr>
          <w:p>
            <w:pPr>
              <w:spacing w:after="20"/>
            </w:pPr>
            <w:r/>
            <w:r>
              <w:rPr>
                <w:rFonts w:ascii="Aptos" w:hAnsi="Aptos"/>
                <w:b w:val="0"/>
                <w:sz w:val="16"/>
              </w:rPr>
              <w:t>Protected production assets</w:t>
            </w:r>
          </w:p>
        </w:tc>
        <w:tc>
          <w:tcPr>
            <w:tcW w:type="dxa" w:w="3456"/>
            <w:vAlign w:val="center"/>
          </w:tcPr>
          <w:p>
            <w:pPr>
              <w:spacing w:after="20"/>
            </w:pPr>
            <w:r/>
            <w:r>
              <w:rPr>
                <w:rFonts w:ascii="Aptos" w:hAnsi="Aptos"/>
                <w:b w:val="0"/>
                <w:sz w:val="16"/>
              </w:rPr>
              <w:t>Must remain untouched.</w:t>
            </w:r>
          </w:p>
        </w:tc>
        <w:tc>
          <w:tcPr>
            <w:tcW w:type="dxa" w:w="4968"/>
            <w:vAlign w:val="center"/>
          </w:tcPr>
          <w:p>
            <w:pPr>
              <w:spacing w:after="20"/>
            </w:pPr>
            <w:r/>
            <w:r>
              <w:rPr>
                <w:rFonts w:ascii="Aptos" w:hAnsi="Aptos"/>
                <w:b w:val="0"/>
                <w:sz w:val="16"/>
              </w:rPr>
              <w:t>Do not edit general_factory/registry/runtime_bindings.json or the production bootstrapper as part of the first increment.</w:t>
            </w:r>
          </w:p>
        </w:tc>
      </w:tr>
    </w:tbl>
    <w:p>
      <w:pPr>
        <w:spacing w:after="20"/>
      </w:pPr>
    </w:p>
    <w:p>
      <w:pPr>
        <w:pStyle w:val="Heading1"/>
      </w:pPr>
      <w:r>
        <w:t>3. Source materials and decisions to preserve</w:t>
      </w:r>
    </w:p>
    <w:p>
      <w:pPr>
        <w:pStyle w:val="ListBullet"/>
        <w:spacing w:after="40"/>
      </w:pPr>
      <w:r>
        <w:t>QAI Post-Pilot PaaS/IaaS/SaaS reference: PaaS first, IaaS second, SaaS third; UI and code authoring converge on one logical workflow; the Factory remains execution authority.</w:t>
      </w:r>
    </w:p>
    <w:p>
      <w:pPr>
        <w:pStyle w:val="ListBullet"/>
        <w:spacing w:after="40"/>
      </w:pPr>
      <w:r>
        <w:t>Post-Pilot QAI Lab strategy v2: use lightweight Tracks, Working Groups, Co-Design, a curated Asset Fabric, reusable interfaces/APIs, and one or more evidence-driven end-to-end examples.</w:t>
      </w:r>
    </w:p>
    <w:p>
      <w:pPr>
        <w:pStyle w:val="ListBullet"/>
        <w:spacing w:after="40"/>
      </w:pPr>
      <w:r>
        <w:t>Runtime / Resource Fabric discussion: local-first CPU execution is sufficient to start; logical resource needs should remain separate from concrete resource binding; simulation, emulation and physical execution must remain distinct.</w:t>
      </w:r>
    </w:p>
    <w:p>
      <w:pPr>
        <w:pStyle w:val="ListBullet"/>
        <w:spacing w:after="40"/>
      </w:pPr>
      <w:r>
        <w:t>Agriculture MVP v2: experiment definition → logical workflow JSON → validation → registry → agriculture binding → local execution/emulator → results/evidence → optional MLflow tracking.</w:t>
      </w:r>
    </w:p>
    <w:p>
      <w:pPr>
        <w:pStyle w:val="ListBullet"/>
        <w:spacing w:after="40"/>
      </w:pPr>
      <w:r>
        <w:t>General Factory QAI integration findings: inspect existing resolver/engine code before creating new components; dry-run must not invoke the implementation; registry registration is not execution authorization; do not infer execution success from static responses.</w:t>
      </w:r>
    </w:p>
    <w:p>
      <w:pPr>
        <w:pStyle w:val="ListBullet"/>
        <w:spacing w:after="40"/>
      </w:pPr>
      <w:r>
        <w:t>Phase 12 notebook: delivery package selection, delivery registry, manifest, knowledge/asset registry and handover records are templates/placeholders. Physical packaging/transfer is outside the current notebook behavior.</w:t>
      </w:r>
    </w:p>
    <w:p>
      <w:pPr>
        <w:pStyle w:val="Heading1"/>
      </w:pPr>
      <w:r>
        <w:t>4. First use case: narrow functional scope</w:t>
      </w:r>
    </w:p>
    <w:p>
      <w:r>
        <w:t>Recommended first scenario: a deterministic Agriculture resource-allocation/optimization simulation, using the simplest suitable Phase 4 pilot functions after inspecting their dependencies. Phase 4 is preferred because it demonstrates open-loop evaluation without requiring actuation. If its dependencies make extraction costly, use the smallest already-working pilot function that provides an observable result.</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365D"/>
          </w:tcPr>
          <w:p>
            <w:pPr>
              <w:spacing w:after="20"/>
            </w:pPr>
            <w:r/>
            <w:r>
              <w:rPr>
                <w:rFonts w:ascii="Aptos" w:hAnsi="Aptos"/>
                <w:b/>
                <w:color w:val="FFFFFF"/>
                <w:sz w:val="17"/>
              </w:rPr>
              <w:t>Stage</w:t>
            </w:r>
          </w:p>
        </w:tc>
        <w:tc>
          <w:tcPr>
            <w:tcW w:type="dxa" w:w="5328"/>
            <w:vAlign w:val="center"/>
            <w:shd w:fill="17365D"/>
          </w:tcPr>
          <w:p>
            <w:pPr>
              <w:spacing w:after="20"/>
            </w:pPr>
            <w:r/>
            <w:r>
              <w:rPr>
                <w:rFonts w:ascii="Aptos" w:hAnsi="Aptos"/>
                <w:b/>
                <w:color w:val="FFFFFF"/>
                <w:sz w:val="17"/>
              </w:rPr>
              <w:t>Minimum behavior</w:t>
            </w:r>
          </w:p>
        </w:tc>
        <w:tc>
          <w:tcPr>
            <w:tcW w:type="dxa" w:w="4176"/>
            <w:vAlign w:val="center"/>
            <w:shd w:fill="17365D"/>
          </w:tcPr>
          <w:p>
            <w:pPr>
              <w:spacing w:after="20"/>
            </w:pPr>
            <w:r/>
            <w:r>
              <w:rPr>
                <w:rFonts w:ascii="Aptos" w:hAnsi="Aptos"/>
                <w:b/>
                <w:color w:val="FFFFFF"/>
                <w:sz w:val="17"/>
              </w:rPr>
              <w:t>Evidence produced</w:t>
            </w:r>
          </w:p>
        </w:tc>
      </w:tr>
      <w:tr>
        <w:tc>
          <w:tcPr>
            <w:tcW w:type="dxa" w:w="1152"/>
            <w:vAlign w:val="center"/>
          </w:tcPr>
          <w:p>
            <w:pPr>
              <w:spacing w:after="20"/>
            </w:pPr>
            <w:r/>
            <w:r>
              <w:rPr>
                <w:rFonts w:ascii="Aptos" w:hAnsi="Aptos"/>
                <w:b w:val="0"/>
                <w:sz w:val="16"/>
              </w:rPr>
              <w:t>1. Request</w:t>
            </w:r>
          </w:p>
        </w:tc>
        <w:tc>
          <w:tcPr>
            <w:tcW w:type="dxa" w:w="5328"/>
            <w:vAlign w:val="center"/>
          </w:tcPr>
          <w:p>
            <w:pPr>
              <w:spacing w:after="20"/>
            </w:pPr>
            <w:r/>
            <w:r>
              <w:rPr>
                <w:rFonts w:ascii="Aptos" w:hAnsi="Aptos"/>
                <w:b w:val="0"/>
                <w:sz w:val="16"/>
              </w:rPr>
              <w:t>Load one experiment definition with an ID, input/scenario parameters, logical capability and execution mode.</w:t>
            </w:r>
          </w:p>
        </w:tc>
        <w:tc>
          <w:tcPr>
            <w:tcW w:type="dxa" w:w="4176"/>
            <w:vAlign w:val="center"/>
          </w:tcPr>
          <w:p>
            <w:pPr>
              <w:spacing w:after="20"/>
            </w:pPr>
            <w:r/>
            <w:r>
              <w:rPr>
                <w:rFonts w:ascii="Aptos" w:hAnsi="Aptos"/>
                <w:b w:val="0"/>
                <w:sz w:val="16"/>
              </w:rPr>
              <w:t>Request/experiment identity and parameters.</w:t>
            </w:r>
          </w:p>
        </w:tc>
      </w:tr>
      <w:tr>
        <w:tc>
          <w:tcPr>
            <w:tcW w:type="dxa" w:w="1152"/>
            <w:vAlign w:val="center"/>
            <w:shd w:fill="F2F6FA"/>
          </w:tcPr>
          <w:p>
            <w:pPr>
              <w:spacing w:after="20"/>
            </w:pPr>
            <w:r/>
            <w:r>
              <w:rPr>
                <w:rFonts w:ascii="Aptos" w:hAnsi="Aptos"/>
                <w:b w:val="0"/>
                <w:sz w:val="16"/>
              </w:rPr>
              <w:t>2. Validate</w:t>
            </w:r>
          </w:p>
        </w:tc>
        <w:tc>
          <w:tcPr>
            <w:tcW w:type="dxa" w:w="5328"/>
            <w:vAlign w:val="center"/>
            <w:shd w:fill="F2F6FA"/>
          </w:tcPr>
          <w:p>
            <w:pPr>
              <w:spacing w:after="20"/>
            </w:pPr>
            <w:r/>
            <w:r>
              <w:rPr>
                <w:rFonts w:ascii="Aptos" w:hAnsi="Aptos"/>
                <w:b w:val="0"/>
                <w:sz w:val="16"/>
              </w:rPr>
              <w:t>Check required fields, supported execution mode and basic input consistency before invocation.</w:t>
            </w:r>
          </w:p>
        </w:tc>
        <w:tc>
          <w:tcPr>
            <w:tcW w:type="dxa" w:w="4176"/>
            <w:vAlign w:val="center"/>
            <w:shd w:fill="F2F6FA"/>
          </w:tcPr>
          <w:p>
            <w:pPr>
              <w:spacing w:after="20"/>
            </w:pPr>
            <w:r/>
            <w:r>
              <w:rPr>
                <w:rFonts w:ascii="Aptos" w:hAnsi="Aptos"/>
                <w:b w:val="0"/>
                <w:sz w:val="16"/>
              </w:rPr>
              <w:t>Validation status and any clear error.</w:t>
            </w:r>
          </w:p>
        </w:tc>
      </w:tr>
      <w:tr>
        <w:tc>
          <w:tcPr>
            <w:tcW w:type="dxa" w:w="1152"/>
            <w:vAlign w:val="center"/>
          </w:tcPr>
          <w:p>
            <w:pPr>
              <w:spacing w:after="20"/>
            </w:pPr>
            <w:r/>
            <w:r>
              <w:rPr>
                <w:rFonts w:ascii="Aptos" w:hAnsi="Aptos"/>
                <w:b w:val="0"/>
                <w:sz w:val="16"/>
              </w:rPr>
              <w:t>3. Resolve</w:t>
            </w:r>
          </w:p>
        </w:tc>
        <w:tc>
          <w:tcPr>
            <w:tcW w:type="dxa" w:w="5328"/>
            <w:vAlign w:val="center"/>
          </w:tcPr>
          <w:p>
            <w:pPr>
              <w:spacing w:after="20"/>
            </w:pPr>
            <w:r/>
            <w:r>
              <w:rPr>
                <w:rFonts w:ascii="Aptos" w:hAnsi="Aptos"/>
                <w:b w:val="0"/>
                <w:sz w:val="16"/>
              </w:rPr>
              <w:t>Resolve one logical capability to one known implementation using the existing supported registry/resolver path; if no executable resolver exists, expose that gap rather than pretending the JSON file performs resolution.</w:t>
            </w:r>
          </w:p>
        </w:tc>
        <w:tc>
          <w:tcPr>
            <w:tcW w:type="dxa" w:w="4176"/>
            <w:vAlign w:val="center"/>
          </w:tcPr>
          <w:p>
            <w:pPr>
              <w:spacing w:after="20"/>
            </w:pPr>
            <w:r/>
            <w:r>
              <w:rPr>
                <w:rFonts w:ascii="Aptos" w:hAnsi="Aptos"/>
                <w:b w:val="0"/>
                <w:sz w:val="16"/>
              </w:rPr>
              <w:t>Capability ID, implementation ID/version and resolution status.</w:t>
            </w:r>
          </w:p>
        </w:tc>
      </w:tr>
      <w:tr>
        <w:tc>
          <w:tcPr>
            <w:tcW w:type="dxa" w:w="1152"/>
            <w:vAlign w:val="center"/>
            <w:shd w:fill="F2F6FA"/>
          </w:tcPr>
          <w:p>
            <w:pPr>
              <w:spacing w:after="20"/>
            </w:pPr>
            <w:r/>
            <w:r>
              <w:rPr>
                <w:rFonts w:ascii="Aptos" w:hAnsi="Aptos"/>
                <w:b w:val="0"/>
                <w:sz w:val="16"/>
              </w:rPr>
              <w:t>4. Execute</w:t>
            </w:r>
          </w:p>
        </w:tc>
        <w:tc>
          <w:tcPr>
            <w:tcW w:type="dxa" w:w="5328"/>
            <w:vAlign w:val="center"/>
            <w:shd w:fill="F2F6FA"/>
          </w:tcPr>
          <w:p>
            <w:pPr>
              <w:spacing w:after="20"/>
            </w:pPr>
            <w:r/>
            <w:r>
              <w:rPr>
                <w:rFonts w:ascii="Aptos" w:hAnsi="Aptos"/>
                <w:b w:val="0"/>
                <w:sz w:val="16"/>
              </w:rPr>
              <w:t>Run one local deterministic simulation; do not require GitLab, cloud, external APIs or a physical QPU.</w:t>
            </w:r>
          </w:p>
        </w:tc>
        <w:tc>
          <w:tcPr>
            <w:tcW w:type="dxa" w:w="4176"/>
            <w:vAlign w:val="center"/>
            <w:shd w:fill="F2F6FA"/>
          </w:tcPr>
          <w:p>
            <w:pPr>
              <w:spacing w:after="20"/>
            </w:pPr>
            <w:r/>
            <w:r>
              <w:rPr>
                <w:rFonts w:ascii="Aptos" w:hAnsi="Aptos"/>
                <w:b w:val="0"/>
                <w:sz w:val="16"/>
              </w:rPr>
              <w:t>Run ID, status, actual execution mode and local resource context.</w:t>
            </w:r>
          </w:p>
        </w:tc>
      </w:tr>
      <w:tr>
        <w:tc>
          <w:tcPr>
            <w:tcW w:type="dxa" w:w="1152"/>
            <w:vAlign w:val="center"/>
          </w:tcPr>
          <w:p>
            <w:pPr>
              <w:spacing w:after="20"/>
            </w:pPr>
            <w:r/>
            <w:r>
              <w:rPr>
                <w:rFonts w:ascii="Aptos" w:hAnsi="Aptos"/>
                <w:b w:val="0"/>
                <w:sz w:val="16"/>
              </w:rPr>
              <w:t>5. Result</w:t>
            </w:r>
          </w:p>
        </w:tc>
        <w:tc>
          <w:tcPr>
            <w:tcW w:type="dxa" w:w="5328"/>
            <w:vAlign w:val="center"/>
          </w:tcPr>
          <w:p>
            <w:pPr>
              <w:spacing w:after="20"/>
            </w:pPr>
            <w:r/>
            <w:r>
              <w:rPr>
                <w:rFonts w:ascii="Aptos" w:hAnsi="Aptos"/>
                <w:b w:val="0"/>
                <w:sz w:val="16"/>
              </w:rPr>
              <w:t>Return a small structured result with the principal outcome/KPI and any baseline comparison already supported by the selected pilot function.</w:t>
            </w:r>
          </w:p>
        </w:tc>
        <w:tc>
          <w:tcPr>
            <w:tcW w:type="dxa" w:w="4176"/>
            <w:vAlign w:val="center"/>
          </w:tcPr>
          <w:p>
            <w:pPr>
              <w:spacing w:after="20"/>
            </w:pPr>
            <w:r/>
            <w:r>
              <w:rPr>
                <w:rFonts w:ascii="Aptos" w:hAnsi="Aptos"/>
                <w:b w:val="0"/>
                <w:sz w:val="16"/>
              </w:rPr>
              <w:t>Result payload and result reference.</w:t>
            </w:r>
          </w:p>
        </w:tc>
      </w:tr>
      <w:tr>
        <w:tc>
          <w:tcPr>
            <w:tcW w:type="dxa" w:w="1152"/>
            <w:vAlign w:val="center"/>
            <w:shd w:fill="F2F6FA"/>
          </w:tcPr>
          <w:p>
            <w:pPr>
              <w:spacing w:after="20"/>
            </w:pPr>
            <w:r/>
            <w:r>
              <w:rPr>
                <w:rFonts w:ascii="Aptos" w:hAnsi="Aptos"/>
                <w:b w:val="0"/>
                <w:sz w:val="16"/>
              </w:rPr>
              <w:t>6. Evidence</w:t>
            </w:r>
          </w:p>
        </w:tc>
        <w:tc>
          <w:tcPr>
            <w:tcW w:type="dxa" w:w="5328"/>
            <w:vAlign w:val="center"/>
            <w:shd w:fill="F2F6FA"/>
          </w:tcPr>
          <w:p>
            <w:pPr>
              <w:spacing w:after="20"/>
            </w:pPr>
            <w:r/>
            <w:r>
              <w:rPr>
                <w:rFonts w:ascii="Aptos" w:hAnsi="Aptos"/>
                <w:b w:val="0"/>
                <w:sz w:val="16"/>
              </w:rPr>
              <w:t>Write a compact provenance record connecting request, implementation, parameters, run, result and validation.</w:t>
            </w:r>
          </w:p>
        </w:tc>
        <w:tc>
          <w:tcPr>
            <w:tcW w:type="dxa" w:w="4176"/>
            <w:vAlign w:val="center"/>
            <w:shd w:fill="F2F6FA"/>
          </w:tcPr>
          <w:p>
            <w:pPr>
              <w:spacing w:after="20"/>
            </w:pPr>
            <w:r/>
            <w:r>
              <w:rPr>
                <w:rFonts w:ascii="Aptos" w:hAnsi="Aptos"/>
                <w:b w:val="0"/>
                <w:sz w:val="16"/>
              </w:rPr>
              <w:t>Evidence JSON or equivalent structured record.</w:t>
            </w:r>
          </w:p>
        </w:tc>
      </w:tr>
    </w:tbl>
    <w:p>
      <w:pPr>
        <w:spacing w:after="20"/>
      </w:pPr>
    </w:p>
    <w:p>
      <w:r>
        <w:t>Scope note: the first use case does not need to prove a quantum advantage. Any QAI-compatible path must be labelled according to what actually ran (for example, controlled classical simulation); no physical quantum execution claim is permitted without evidence.</w:t>
      </w:r>
    </w:p>
    <w:p>
      <w:pPr>
        <w:pStyle w:val="Heading1"/>
      </w:pPr>
      <w:r>
        <w:t>5. Reuse strategy for the 254-cell agriculture notebook</w:t>
      </w:r>
    </w:p>
    <w:p>
      <w:r>
        <w:t>The notebook inventory reported 254 cells (150 code and 104 Markdown). Reuse selected functions and data structures, not the full notebook as a runtime dependency. The notebook remains a domain reference and source of proven workflow patterns; it does not become the General Framework or General Factory definition.</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65D"/>
          </w:tcPr>
          <w:p>
            <w:pPr>
              <w:spacing w:after="20"/>
            </w:pPr>
            <w:r/>
            <w:r>
              <w:rPr>
                <w:rFonts w:ascii="Aptos" w:hAnsi="Aptos"/>
                <w:b/>
                <w:color w:val="FFFFFF"/>
                <w:sz w:val="17"/>
              </w:rPr>
              <w:t>Notebook area</w:t>
            </w:r>
          </w:p>
        </w:tc>
        <w:tc>
          <w:tcPr>
            <w:tcW w:type="dxa" w:w="8280"/>
            <w:vAlign w:val="center"/>
            <w:shd w:fill="17365D"/>
          </w:tcPr>
          <w:p>
            <w:pPr>
              <w:spacing w:after="20"/>
            </w:pPr>
            <w:r/>
            <w:r>
              <w:rPr>
                <w:rFonts w:ascii="Aptos" w:hAnsi="Aptos"/>
                <w:b/>
                <w:color w:val="FFFFFF"/>
                <w:sz w:val="17"/>
              </w:rPr>
              <w:t>Recommendation</w:t>
            </w:r>
          </w:p>
        </w:tc>
      </w:tr>
      <w:tr>
        <w:tc>
          <w:tcPr>
            <w:tcW w:type="dxa" w:w="2376"/>
            <w:vAlign w:val="center"/>
          </w:tcPr>
          <w:p>
            <w:pPr>
              <w:spacing w:after="20"/>
            </w:pPr>
            <w:r/>
            <w:r>
              <w:rPr>
                <w:rFonts w:ascii="Aptos" w:hAnsi="Aptos"/>
                <w:b w:val="0"/>
                <w:sz w:val="16"/>
              </w:rPr>
              <w:t>Phases 3 / sections 1–11</w:t>
            </w:r>
          </w:p>
        </w:tc>
        <w:tc>
          <w:tcPr>
            <w:tcW w:type="dxa" w:w="8280"/>
            <w:vAlign w:val="center"/>
          </w:tcPr>
          <w:p>
            <w:pPr>
              <w:spacing w:after="20"/>
            </w:pPr>
            <w:r/>
            <w:r>
              <w:rPr>
                <w:rFonts w:ascii="Aptos" w:hAnsi="Aptos"/>
                <w:b w:val="0"/>
                <w:sz w:val="16"/>
              </w:rPr>
              <w:t>Use for workflow definition, asset registration, parameters, task/node construction, pre-validation, approval, execution/result records and experiment logging patterns, but only where needed.</w:t>
            </w:r>
          </w:p>
        </w:tc>
      </w:tr>
      <w:tr>
        <w:tc>
          <w:tcPr>
            <w:tcW w:type="dxa" w:w="2376"/>
            <w:vAlign w:val="center"/>
            <w:shd w:fill="F2F6FA"/>
          </w:tcPr>
          <w:p>
            <w:pPr>
              <w:spacing w:after="20"/>
            </w:pPr>
            <w:r/>
            <w:r>
              <w:rPr>
                <w:rFonts w:ascii="Aptos" w:hAnsi="Aptos"/>
                <w:b w:val="0"/>
                <w:sz w:val="16"/>
              </w:rPr>
              <w:t>Phase 4</w:t>
            </w:r>
          </w:p>
        </w:tc>
        <w:tc>
          <w:tcPr>
            <w:tcW w:type="dxa" w:w="8280"/>
            <w:vAlign w:val="center"/>
            <w:shd w:fill="F2F6FA"/>
          </w:tcPr>
          <w:p>
            <w:pPr>
              <w:spacing w:after="20"/>
            </w:pPr>
            <w:r/>
            <w:r>
              <w:rPr>
                <w:rFonts w:ascii="Aptos" w:hAnsi="Aptos"/>
                <w:b w:val="0"/>
                <w:sz w:val="16"/>
              </w:rPr>
              <w:t>Preferred first execution candidate: input/scenario, sensing/input checks, digital farm context, classical baseline, QAI-compatible alternative, common evaluation, recommendation, KPI/value measurement, fault scenario and evidence.</w:t>
            </w:r>
          </w:p>
        </w:tc>
      </w:tr>
      <w:tr>
        <w:tc>
          <w:tcPr>
            <w:tcW w:type="dxa" w:w="2376"/>
            <w:vAlign w:val="center"/>
          </w:tcPr>
          <w:p>
            <w:pPr>
              <w:spacing w:after="20"/>
            </w:pPr>
            <w:r/>
            <w:r>
              <w:rPr>
                <w:rFonts w:ascii="Aptos" w:hAnsi="Aptos"/>
                <w:b w:val="0"/>
                <w:sz w:val="16"/>
              </w:rPr>
              <w:t>Phase 5</w:t>
            </w:r>
          </w:p>
        </w:tc>
        <w:tc>
          <w:tcPr>
            <w:tcW w:type="dxa" w:w="8280"/>
            <w:vAlign w:val="center"/>
          </w:tcPr>
          <w:p>
            <w:pPr>
              <w:spacing w:after="20"/>
            </w:pPr>
            <w:r/>
            <w:r>
              <w:rPr>
                <w:rFonts w:ascii="Aptos" w:hAnsi="Aptos"/>
                <w:b w:val="0"/>
                <w:sz w:val="16"/>
              </w:rPr>
              <w:t>Defer closed-loop CPS and simulated actuation unless Phase 4 cannot support a minimal use case.</w:t>
            </w:r>
          </w:p>
        </w:tc>
      </w:tr>
      <w:tr>
        <w:tc>
          <w:tcPr>
            <w:tcW w:type="dxa" w:w="2376"/>
            <w:vAlign w:val="center"/>
            <w:shd w:fill="F2F6FA"/>
          </w:tcPr>
          <w:p>
            <w:pPr>
              <w:spacing w:after="20"/>
            </w:pPr>
            <w:r/>
            <w:r>
              <w:rPr>
                <w:rFonts w:ascii="Aptos" w:hAnsi="Aptos"/>
                <w:b w:val="0"/>
                <w:sz w:val="16"/>
              </w:rPr>
              <w:t>Phases 6–7</w:t>
            </w:r>
          </w:p>
        </w:tc>
        <w:tc>
          <w:tcPr>
            <w:tcW w:type="dxa" w:w="8280"/>
            <w:vAlign w:val="center"/>
            <w:shd w:fill="F2F6FA"/>
          </w:tcPr>
          <w:p>
            <w:pPr>
              <w:spacing w:after="20"/>
            </w:pPr>
            <w:r/>
            <w:r>
              <w:rPr>
                <w:rFonts w:ascii="Aptos" w:hAnsi="Aptos"/>
                <w:b w:val="0"/>
                <w:sz w:val="16"/>
              </w:rPr>
              <w:t>Defer wider advantage gates, model promotion, sensitivity and robustness suites; preserve claims discipline.</w:t>
            </w:r>
          </w:p>
        </w:tc>
      </w:tr>
      <w:tr>
        <w:tc>
          <w:tcPr>
            <w:tcW w:type="dxa" w:w="2376"/>
            <w:vAlign w:val="center"/>
          </w:tcPr>
          <w:p>
            <w:pPr>
              <w:spacing w:after="20"/>
            </w:pPr>
            <w:r/>
            <w:r>
              <w:rPr>
                <w:rFonts w:ascii="Aptos" w:hAnsi="Aptos"/>
                <w:b w:val="0"/>
                <w:sz w:val="16"/>
              </w:rPr>
              <w:t>Phases 9–10</w:t>
            </w:r>
          </w:p>
        </w:tc>
        <w:tc>
          <w:tcPr>
            <w:tcW w:type="dxa" w:w="8280"/>
            <w:vAlign w:val="center"/>
          </w:tcPr>
          <w:p>
            <w:pPr>
              <w:spacing w:after="20"/>
            </w:pPr>
            <w:r/>
            <w:r>
              <w:rPr>
                <w:rFonts w:ascii="Aptos" w:hAnsi="Aptos"/>
                <w:b w:val="0"/>
                <w:sz w:val="16"/>
              </w:rPr>
              <w:t>Use as reference for QAI interface and fabric/slice integration later, not a prerequisite for the first local vertical slice.</w:t>
            </w:r>
          </w:p>
        </w:tc>
      </w:tr>
      <w:tr>
        <w:tc>
          <w:tcPr>
            <w:tcW w:type="dxa" w:w="2376"/>
            <w:vAlign w:val="center"/>
            <w:shd w:fill="F2F6FA"/>
          </w:tcPr>
          <w:p>
            <w:pPr>
              <w:spacing w:after="20"/>
            </w:pPr>
            <w:r/>
            <w:r>
              <w:rPr>
                <w:rFonts w:ascii="Aptos" w:hAnsi="Aptos"/>
                <w:b w:val="0"/>
                <w:sz w:val="16"/>
              </w:rPr>
              <w:t>Phase 11</w:t>
            </w:r>
          </w:p>
        </w:tc>
        <w:tc>
          <w:tcPr>
            <w:tcW w:type="dxa" w:w="8280"/>
            <w:vAlign w:val="center"/>
            <w:shd w:fill="F2F6FA"/>
          </w:tcPr>
          <w:p>
            <w:pPr>
              <w:spacing w:after="20"/>
            </w:pPr>
            <w:r/>
            <w:r>
              <w:rPr>
                <w:rFonts w:ascii="Aptos" w:hAnsi="Aptos"/>
                <w:b w:val="0"/>
                <w:sz w:val="16"/>
              </w:rPr>
              <w:t>Use benchmark/vendor comparison structures only if they are directly needed by the selected scenario.</w:t>
            </w:r>
          </w:p>
        </w:tc>
      </w:tr>
      <w:tr>
        <w:tc>
          <w:tcPr>
            <w:tcW w:type="dxa" w:w="2376"/>
            <w:vAlign w:val="center"/>
          </w:tcPr>
          <w:p>
            <w:pPr>
              <w:spacing w:after="20"/>
            </w:pPr>
            <w:r/>
            <w:r>
              <w:rPr>
                <w:rFonts w:ascii="Aptos" w:hAnsi="Aptos"/>
                <w:b w:val="0"/>
                <w:sz w:val="16"/>
              </w:rPr>
              <w:t>Phase 12</w:t>
            </w:r>
          </w:p>
        </w:tc>
        <w:tc>
          <w:tcPr>
            <w:tcW w:type="dxa" w:w="8280"/>
            <w:vAlign w:val="center"/>
          </w:tcPr>
          <w:p>
            <w:pPr>
              <w:spacing w:after="20"/>
            </w:pPr>
            <w:r/>
            <w:r>
              <w:rPr>
                <w:rFonts w:ascii="Aptos" w:hAnsi="Aptos"/>
                <w:b w:val="0"/>
                <w:sz w:val="16"/>
              </w:rPr>
              <w:t>Reuse delivery registry/manifest/handover record shapes later; do not build a delivery packaging/transfer service in the first use case.</w:t>
            </w:r>
          </w:p>
        </w:tc>
      </w:tr>
    </w:tbl>
    <w:p>
      <w:pPr>
        <w:spacing w:after="20"/>
      </w:pPr>
    </w:p>
    <w:p>
      <w:pPr>
        <w:pStyle w:val="ListBullet"/>
        <w:spacing w:after="40"/>
      </w:pPr>
      <w:r>
        <w:t>Before copying any function, inspect its inputs, global variables, side effects, dependencies, output structure and whether it runs independently.</w:t>
      </w:r>
    </w:p>
    <w:p>
      <w:pPr>
        <w:pStyle w:val="ListBullet"/>
        <w:spacing w:after="40"/>
      </w:pPr>
      <w:r>
        <w:t>Prefer a thin wrapper/binding that calls the chosen pilot function over copying large cell blocks.</w:t>
      </w:r>
    </w:p>
    <w:p>
      <w:pPr>
        <w:pStyle w:val="ListBullet"/>
        <w:spacing w:after="40"/>
      </w:pPr>
      <w:r>
        <w:t>Keep source notebook revision/path and the extracted function/binding version in provenance.</w:t>
      </w:r>
    </w:p>
    <w:p>
      <w:pPr>
        <w:pStyle w:val="ListBullet"/>
        <w:spacing w:after="40"/>
      </w:pPr>
      <w:r>
        <w:t>Do not run the entire 12,000-line notebook as part of minimal validation.</w:t>
      </w:r>
    </w:p>
    <w:p>
      <w:pPr>
        <w:pStyle w:val="Heading1"/>
      </w:pPr>
      <w:r>
        <w:t>6. Minimal architecture and file strategy</w:t>
      </w:r>
    </w:p>
    <w:p>
      <w:r>
        <w:t>First inspect existing code and tests, then reuse the current folder layout. Add only files required for the first complete run; do not create the whole proposed platform tree up front.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pPr>
              <w:spacing w:after="20"/>
            </w:pPr>
            <w:r/>
            <w:r>
              <w:rPr>
                <w:rFonts w:ascii="Aptos" w:hAnsi="Aptos"/>
                <w:b/>
                <w:color w:val="FFFFFF"/>
                <w:sz w:val="17"/>
              </w:rPr>
              <w:t>Concern</w:t>
            </w:r>
          </w:p>
        </w:tc>
        <w:tc>
          <w:tcPr>
            <w:tcW w:type="dxa" w:w="3816"/>
            <w:vAlign w:val="center"/>
            <w:shd w:fill="17365D"/>
          </w:tcPr>
          <w:p>
            <w:pPr>
              <w:spacing w:after="20"/>
            </w:pPr>
            <w:r/>
            <w:r>
              <w:rPr>
                <w:rFonts w:ascii="Aptos" w:hAnsi="Aptos"/>
                <w:b/>
                <w:color w:val="FFFFFF"/>
                <w:sz w:val="17"/>
              </w:rPr>
              <w:t>Minimum target</w:t>
            </w:r>
          </w:p>
        </w:tc>
        <w:tc>
          <w:tcPr>
            <w:tcW w:type="dxa" w:w="4896"/>
            <w:vAlign w:val="center"/>
            <w:shd w:fill="17365D"/>
          </w:tcPr>
          <w:p>
            <w:pPr>
              <w:spacing w:after="20"/>
            </w:pPr>
            <w:r/>
            <w:r>
              <w:rPr>
                <w:rFonts w:ascii="Aptos" w:hAnsi="Aptos"/>
                <w:b/>
                <w:color w:val="FFFFFF"/>
                <w:sz w:val="17"/>
              </w:rPr>
              <w:t>Guardrail</w:t>
            </w:r>
          </w:p>
        </w:tc>
      </w:tr>
      <w:tr>
        <w:tc>
          <w:tcPr>
            <w:tcW w:type="dxa" w:w="1944"/>
            <w:vAlign w:val="center"/>
          </w:tcPr>
          <w:p>
            <w:pPr>
              <w:spacing w:after="20"/>
            </w:pPr>
            <w:r/>
            <w:r>
              <w:rPr>
                <w:rFonts w:ascii="Aptos" w:hAnsi="Aptos"/>
                <w:b w:val="0"/>
                <w:sz w:val="16"/>
              </w:rPr>
              <w:t>Logical workflow</w:t>
            </w:r>
          </w:p>
        </w:tc>
        <w:tc>
          <w:tcPr>
            <w:tcW w:type="dxa" w:w="3816"/>
            <w:vAlign w:val="center"/>
          </w:tcPr>
          <w:p>
            <w:pPr>
              <w:spacing w:after="20"/>
            </w:pPr>
            <w:r/>
            <w:r>
              <w:rPr>
                <w:rFonts w:ascii="Aptos" w:hAnsi="Aptos"/>
                <w:b w:val="0"/>
                <w:sz w:val="16"/>
              </w:rPr>
              <w:t>One small versioned JSON example; schema only if no suitable existing contract is found.</w:t>
            </w:r>
          </w:p>
        </w:tc>
        <w:tc>
          <w:tcPr>
            <w:tcW w:type="dxa" w:w="4896"/>
            <w:vAlign w:val="center"/>
          </w:tcPr>
          <w:p>
            <w:pPr>
              <w:spacing w:after="20"/>
            </w:pPr>
            <w:r/>
            <w:r>
              <w:rPr>
                <w:rFonts w:ascii="Aptos" w:hAnsi="Aptos"/>
                <w:b w:val="0"/>
                <w:sz w:val="16"/>
              </w:rPr>
              <w:t>Technology-neutral; avoid cloud/vendor-specific fields.</w:t>
            </w:r>
          </w:p>
        </w:tc>
      </w:tr>
      <w:tr>
        <w:tc>
          <w:tcPr>
            <w:tcW w:type="dxa" w:w="1944"/>
            <w:vAlign w:val="center"/>
            <w:shd w:fill="F2F6FA"/>
          </w:tcPr>
          <w:p>
            <w:pPr>
              <w:spacing w:after="20"/>
            </w:pPr>
            <w:r/>
            <w:r>
              <w:rPr>
                <w:rFonts w:ascii="Aptos" w:hAnsi="Aptos"/>
                <w:b w:val="0"/>
                <w:sz w:val="16"/>
              </w:rPr>
              <w:t>Experiment definition</w:t>
            </w:r>
          </w:p>
        </w:tc>
        <w:tc>
          <w:tcPr>
            <w:tcW w:type="dxa" w:w="3816"/>
            <w:vAlign w:val="center"/>
            <w:shd w:fill="F2F6FA"/>
          </w:tcPr>
          <w:p>
            <w:pPr>
              <w:spacing w:after="20"/>
            </w:pPr>
            <w:r/>
            <w:r>
              <w:rPr>
                <w:rFonts w:ascii="Aptos" w:hAnsi="Aptos"/>
                <w:b w:val="0"/>
                <w:sz w:val="16"/>
              </w:rPr>
              <w:t>One agriculture experiment configuration.</w:t>
            </w:r>
          </w:p>
        </w:tc>
        <w:tc>
          <w:tcPr>
            <w:tcW w:type="dxa" w:w="4896"/>
            <w:vAlign w:val="center"/>
            <w:shd w:fill="F2F6FA"/>
          </w:tcPr>
          <w:p>
            <w:pPr>
              <w:spacing w:after="20"/>
            </w:pPr>
            <w:r/>
            <w:r>
              <w:rPr>
                <w:rFonts w:ascii="Aptos" w:hAnsi="Aptos"/>
                <w:b w:val="0"/>
                <w:sz w:val="16"/>
              </w:rPr>
              <w:t>Inputs and execution mode explicit.</w:t>
            </w:r>
          </w:p>
        </w:tc>
      </w:tr>
      <w:tr>
        <w:tc>
          <w:tcPr>
            <w:tcW w:type="dxa" w:w="1944"/>
            <w:vAlign w:val="center"/>
          </w:tcPr>
          <w:p>
            <w:pPr>
              <w:spacing w:after="20"/>
            </w:pPr>
            <w:r/>
            <w:r>
              <w:rPr>
                <w:rFonts w:ascii="Aptos" w:hAnsi="Aptos"/>
                <w:b w:val="0"/>
                <w:sz w:val="16"/>
              </w:rPr>
              <w:t>Validation</w:t>
            </w:r>
          </w:p>
        </w:tc>
        <w:tc>
          <w:tcPr>
            <w:tcW w:type="dxa" w:w="3816"/>
            <w:vAlign w:val="center"/>
          </w:tcPr>
          <w:p>
            <w:pPr>
              <w:spacing w:after="20"/>
            </w:pPr>
            <w:r/>
            <w:r>
              <w:rPr>
                <w:rFonts w:ascii="Aptos" w:hAnsi="Aptos"/>
                <w:b w:val="0"/>
                <w:sz w:val="16"/>
              </w:rPr>
              <w:t>One validation entry point or reuse of an existing validator.</w:t>
            </w:r>
          </w:p>
        </w:tc>
        <w:tc>
          <w:tcPr>
            <w:tcW w:type="dxa" w:w="4896"/>
            <w:vAlign w:val="center"/>
          </w:tcPr>
          <w:p>
            <w:pPr>
              <w:spacing w:after="20"/>
            </w:pPr>
            <w:r/>
            <w:r>
              <w:rPr>
                <w:rFonts w:ascii="Aptos" w:hAnsi="Aptos"/>
                <w:b w:val="0"/>
                <w:sz w:val="16"/>
              </w:rPr>
              <w:t>Reject invalid requests before implementation invocation.</w:t>
            </w:r>
          </w:p>
        </w:tc>
      </w:tr>
      <w:tr>
        <w:tc>
          <w:tcPr>
            <w:tcW w:type="dxa" w:w="1944"/>
            <w:vAlign w:val="center"/>
            <w:shd w:fill="F2F6FA"/>
          </w:tcPr>
          <w:p>
            <w:pPr>
              <w:spacing w:after="20"/>
            </w:pPr>
            <w:r/>
            <w:r>
              <w:rPr>
                <w:rFonts w:ascii="Aptos" w:hAnsi="Aptos"/>
                <w:b w:val="0"/>
                <w:sz w:val="16"/>
              </w:rPr>
              <w:t>Registry / binding</w:t>
            </w:r>
          </w:p>
        </w:tc>
        <w:tc>
          <w:tcPr>
            <w:tcW w:type="dxa" w:w="3816"/>
            <w:vAlign w:val="center"/>
            <w:shd w:fill="F2F6FA"/>
          </w:tcPr>
          <w:p>
            <w:pPr>
              <w:spacing w:after="20"/>
            </w:pPr>
            <w:r/>
            <w:r>
              <w:rPr>
                <w:rFonts w:ascii="Aptos" w:hAnsi="Aptos"/>
                <w:b w:val="0"/>
                <w:sz w:val="16"/>
              </w:rPr>
              <w:t>One capability-to-implementation binding using the existing contract if possible.</w:t>
            </w:r>
          </w:p>
        </w:tc>
        <w:tc>
          <w:tcPr>
            <w:tcW w:type="dxa" w:w="4896"/>
            <w:vAlign w:val="center"/>
            <w:shd w:fill="F2F6FA"/>
          </w:tcPr>
          <w:p>
            <w:pPr>
              <w:spacing w:after="20"/>
            </w:pPr>
            <w:r/>
            <w:r>
              <w:rPr>
                <w:rFonts w:ascii="Aptos" w:hAnsi="Aptos"/>
                <w:b w:val="0"/>
                <w:sz w:val="16"/>
              </w:rPr>
              <w:t>Do not edit protected runtime_bindings.json; avoid duplicate resolvers.</w:t>
            </w:r>
          </w:p>
        </w:tc>
      </w:tr>
      <w:tr>
        <w:tc>
          <w:tcPr>
            <w:tcW w:type="dxa" w:w="1944"/>
            <w:vAlign w:val="center"/>
          </w:tcPr>
          <w:p>
            <w:pPr>
              <w:spacing w:after="20"/>
            </w:pPr>
            <w:r/>
            <w:r>
              <w:rPr>
                <w:rFonts w:ascii="Aptos" w:hAnsi="Aptos"/>
                <w:b w:val="0"/>
                <w:sz w:val="16"/>
              </w:rPr>
              <w:t>Execution</w:t>
            </w:r>
          </w:p>
        </w:tc>
        <w:tc>
          <w:tcPr>
            <w:tcW w:type="dxa" w:w="3816"/>
            <w:vAlign w:val="center"/>
          </w:tcPr>
          <w:p>
            <w:pPr>
              <w:spacing w:after="20"/>
            </w:pPr>
            <w:r/>
            <w:r>
              <w:rPr>
                <w:rFonts w:ascii="Aptos" w:hAnsi="Aptos"/>
                <w:b w:val="0"/>
                <w:sz w:val="16"/>
              </w:rPr>
              <w:t>One local runner/wrapper.</w:t>
            </w:r>
          </w:p>
        </w:tc>
        <w:tc>
          <w:tcPr>
            <w:tcW w:type="dxa" w:w="4896"/>
            <w:vAlign w:val="center"/>
          </w:tcPr>
          <w:p>
            <w:pPr>
              <w:spacing w:after="20"/>
            </w:pPr>
            <w:r/>
            <w:r>
              <w:rPr>
                <w:rFonts w:ascii="Aptos" w:hAnsi="Aptos"/>
                <w:b w:val="0"/>
                <w:sz w:val="16"/>
              </w:rPr>
              <w:t>No network calls, secrets, remote runner or physical QPU.</w:t>
            </w:r>
          </w:p>
        </w:tc>
      </w:tr>
      <w:tr>
        <w:tc>
          <w:tcPr>
            <w:tcW w:type="dxa" w:w="1944"/>
            <w:vAlign w:val="center"/>
            <w:shd w:fill="F2F6FA"/>
          </w:tcPr>
          <w:p>
            <w:pPr>
              <w:spacing w:after="20"/>
            </w:pPr>
            <w:r/>
            <w:r>
              <w:rPr>
                <w:rFonts w:ascii="Aptos" w:hAnsi="Aptos"/>
                <w:b w:val="0"/>
                <w:sz w:val="16"/>
              </w:rPr>
              <w:t>Result/evidence</w:t>
            </w:r>
          </w:p>
        </w:tc>
        <w:tc>
          <w:tcPr>
            <w:tcW w:type="dxa" w:w="3816"/>
            <w:vAlign w:val="center"/>
            <w:shd w:fill="F2F6FA"/>
          </w:tcPr>
          <w:p>
            <w:pPr>
              <w:spacing w:after="20"/>
            </w:pPr>
            <w:r/>
            <w:r>
              <w:rPr>
                <w:rFonts w:ascii="Aptos" w:hAnsi="Aptos"/>
                <w:b w:val="0"/>
                <w:sz w:val="16"/>
              </w:rPr>
              <w:t>One structured result and one provenance/evidence record.</w:t>
            </w:r>
          </w:p>
        </w:tc>
        <w:tc>
          <w:tcPr>
            <w:tcW w:type="dxa" w:w="4896"/>
            <w:vAlign w:val="center"/>
            <w:shd w:fill="F2F6FA"/>
          </w:tcPr>
          <w:p>
            <w:pPr>
              <w:spacing w:after="20"/>
            </w:pPr>
            <w:r/>
            <w:r>
              <w:rPr>
                <w:rFonts w:ascii="Aptos" w:hAnsi="Aptos"/>
                <w:b w:val="0"/>
                <w:sz w:val="16"/>
              </w:rPr>
              <w:t>Evidence status separate from compatibility status.</w:t>
            </w:r>
          </w:p>
        </w:tc>
      </w:tr>
      <w:tr>
        <w:tc>
          <w:tcPr>
            <w:tcW w:type="dxa" w:w="1944"/>
            <w:vAlign w:val="center"/>
          </w:tcPr>
          <w:p>
            <w:pPr>
              <w:spacing w:after="20"/>
            </w:pPr>
            <w:r/>
            <w:r>
              <w:rPr>
                <w:rFonts w:ascii="Aptos" w:hAnsi="Aptos"/>
                <w:b w:val="0"/>
                <w:sz w:val="16"/>
              </w:rPr>
              <w:t>Tracking</w:t>
            </w:r>
          </w:p>
        </w:tc>
        <w:tc>
          <w:tcPr>
            <w:tcW w:type="dxa" w:w="3816"/>
            <w:vAlign w:val="center"/>
          </w:tcPr>
          <w:p>
            <w:pPr>
              <w:spacing w:after="20"/>
            </w:pPr>
            <w:r/>
            <w:r>
              <w:rPr>
                <w:rFonts w:ascii="Aptos" w:hAnsi="Aptos"/>
                <w:b w:val="0"/>
                <w:sz w:val="16"/>
              </w:rPr>
              <w:t>Optional MLflow only if already installed/configured with low friction.</w:t>
            </w:r>
          </w:p>
        </w:tc>
        <w:tc>
          <w:tcPr>
            <w:tcW w:type="dxa" w:w="4896"/>
            <w:vAlign w:val="center"/>
          </w:tcPr>
          <w:p>
            <w:pPr>
              <w:spacing w:after="20"/>
            </w:pPr>
            <w:r/>
            <w:r>
              <w:rPr>
                <w:rFonts w:ascii="Aptos" w:hAnsi="Aptos"/>
                <w:b w:val="0"/>
                <w:sz w:val="16"/>
              </w:rPr>
              <w:t>Do not block the first run on a new dependency; local JSON records are sufficient for the first proof.</w:t>
            </w:r>
          </w:p>
        </w:tc>
      </w:tr>
      <w:tr>
        <w:tc>
          <w:tcPr>
            <w:tcW w:type="dxa" w:w="1944"/>
            <w:vAlign w:val="center"/>
            <w:shd w:fill="F2F6FA"/>
          </w:tcPr>
          <w:p>
            <w:pPr>
              <w:spacing w:after="20"/>
            </w:pPr>
            <w:r/>
            <w:r>
              <w:rPr>
                <w:rFonts w:ascii="Aptos" w:hAnsi="Aptos"/>
                <w:b w:val="0"/>
                <w:sz w:val="16"/>
              </w:rPr>
              <w:t>UI</w:t>
            </w:r>
          </w:p>
        </w:tc>
        <w:tc>
          <w:tcPr>
            <w:tcW w:type="dxa" w:w="3816"/>
            <w:vAlign w:val="center"/>
            <w:shd w:fill="F2F6FA"/>
          </w:tcPr>
          <w:p>
            <w:pPr>
              <w:spacing w:after="20"/>
            </w:pPr>
            <w:r/>
            <w:r>
              <w:rPr>
                <w:rFonts w:ascii="Aptos" w:hAnsi="Aptos"/>
                <w:b w:val="0"/>
                <w:sz w:val="16"/>
              </w:rPr>
              <w:t>No UI for the first end-to-end proof.</w:t>
            </w:r>
          </w:p>
        </w:tc>
        <w:tc>
          <w:tcPr>
            <w:tcW w:type="dxa" w:w="4896"/>
            <w:vAlign w:val="center"/>
            <w:shd w:fill="F2F6FA"/>
          </w:tcPr>
          <w:p>
            <w:pPr>
              <w:spacing w:after="20"/>
            </w:pPr>
            <w:r/>
            <w:r>
              <w:rPr>
                <w:rFonts w:ascii="Aptos" w:hAnsi="Aptos"/>
                <w:b w:val="0"/>
                <w:sz w:val="16"/>
              </w:rPr>
              <w:t>React Flow / IDE integration follows only after the experiment-first path works.</w:t>
            </w:r>
          </w:p>
        </w:tc>
      </w:tr>
    </w:tbl>
    <w:p>
      <w:pPr>
        <w:spacing w:after="20"/>
      </w:pPr>
    </w:p>
    <w:p>
      <w:pPr>
        <w:pStyle w:val="Heading1"/>
      </w:pPr>
      <w:r>
        <w:t>7. VS Code execution plan</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17365D"/>
          </w:tcPr>
          <w:p>
            <w:pPr>
              <w:spacing w:after="20"/>
            </w:pPr>
            <w:r/>
            <w:r>
              <w:rPr>
                <w:rFonts w:ascii="Aptos" w:hAnsi="Aptos"/>
                <w:b/>
                <w:color w:val="FFFFFF"/>
                <w:sz w:val="17"/>
              </w:rPr>
              <w:t>Step</w:t>
            </w:r>
          </w:p>
        </w:tc>
        <w:tc>
          <w:tcPr>
            <w:tcW w:type="dxa" w:w="5760"/>
            <w:vAlign w:val="center"/>
            <w:shd w:fill="17365D"/>
          </w:tcPr>
          <w:p>
            <w:pPr>
              <w:spacing w:after="20"/>
            </w:pPr>
            <w:r/>
            <w:r>
              <w:rPr>
                <w:rFonts w:ascii="Aptos" w:hAnsi="Aptos"/>
                <w:b/>
                <w:color w:val="FFFFFF"/>
                <w:sz w:val="17"/>
              </w:rPr>
              <w:t>Action</w:t>
            </w:r>
          </w:p>
        </w:tc>
        <w:tc>
          <w:tcPr>
            <w:tcW w:type="dxa" w:w="3888"/>
            <w:vAlign w:val="center"/>
            <w:shd w:fill="17365D"/>
          </w:tcPr>
          <w:p>
            <w:pPr>
              <w:spacing w:after="20"/>
            </w:pPr>
            <w:r/>
            <w:r>
              <w:rPr>
                <w:rFonts w:ascii="Aptos" w:hAnsi="Aptos"/>
                <w:b/>
                <w:color w:val="FFFFFF"/>
                <w:sz w:val="17"/>
              </w:rPr>
              <w:t>Completion check</w:t>
            </w:r>
          </w:p>
        </w:tc>
      </w:tr>
      <w:tr>
        <w:tc>
          <w:tcPr>
            <w:tcW w:type="dxa" w:w="1008"/>
            <w:vAlign w:val="center"/>
          </w:tcPr>
          <w:p>
            <w:pPr>
              <w:spacing w:after="20"/>
            </w:pPr>
            <w:r/>
            <w:r>
              <w:rPr>
                <w:rFonts w:ascii="Aptos" w:hAnsi="Aptos"/>
                <w:b w:val="0"/>
                <w:sz w:val="16"/>
              </w:rPr>
              <w:t>0. Freeze scope</w:t>
            </w:r>
          </w:p>
        </w:tc>
        <w:tc>
          <w:tcPr>
            <w:tcW w:type="dxa" w:w="5760"/>
            <w:vAlign w:val="center"/>
          </w:tcPr>
          <w:p>
            <w:pPr>
              <w:spacing w:after="20"/>
            </w:pPr>
            <w:r/>
            <w:r>
              <w:rPr>
                <w:rFonts w:ascii="Aptos" w:hAnsi="Aptos"/>
                <w:b w:val="0"/>
                <w:sz w:val="16"/>
              </w:rPr>
              <w:t>Use this plan as the working baseline; do not add GUI, SaaS, dynamic asset discovery, production runner or cloud resources.</w:t>
            </w:r>
          </w:p>
        </w:tc>
        <w:tc>
          <w:tcPr>
            <w:tcW w:type="dxa" w:w="3888"/>
            <w:vAlign w:val="center"/>
          </w:tcPr>
          <w:p>
            <w:pPr>
              <w:spacing w:after="20"/>
            </w:pPr>
            <w:r/>
            <w:r>
              <w:rPr>
                <w:rFonts w:ascii="Aptos" w:hAnsi="Aptos"/>
                <w:b w:val="0"/>
                <w:sz w:val="16"/>
              </w:rPr>
              <w:t>One named Agriculture scenario and one execution mode agreed.</w:t>
            </w:r>
          </w:p>
        </w:tc>
      </w:tr>
      <w:tr>
        <w:tc>
          <w:tcPr>
            <w:tcW w:type="dxa" w:w="1008"/>
            <w:vAlign w:val="center"/>
            <w:shd w:fill="F2F6FA"/>
          </w:tcPr>
          <w:p>
            <w:pPr>
              <w:spacing w:after="20"/>
            </w:pPr>
            <w:r/>
            <w:r>
              <w:rPr>
                <w:rFonts w:ascii="Aptos" w:hAnsi="Aptos"/>
                <w:b w:val="0"/>
                <w:sz w:val="16"/>
              </w:rPr>
              <w:t>1. Inspect existing surfaces</w:t>
            </w:r>
          </w:p>
        </w:tc>
        <w:tc>
          <w:tcPr>
            <w:tcW w:type="dxa" w:w="5760"/>
            <w:vAlign w:val="center"/>
            <w:shd w:fill="F2F6FA"/>
          </w:tcPr>
          <w:p>
            <w:pPr>
              <w:spacing w:after="20"/>
            </w:pPr>
            <w:r/>
            <w:r>
              <w:rPr>
                <w:rFonts w:ascii="Aptos" w:hAnsi="Aptos"/>
                <w:b w:val="0"/>
                <w:sz w:val="16"/>
              </w:rPr>
              <w:t>Read current workflow schemas, registry/resolver consumers, experimentation folders, README/manifest, existing tests and candidate Phase 4 function dependencies.</w:t>
            </w:r>
          </w:p>
        </w:tc>
        <w:tc>
          <w:tcPr>
            <w:tcW w:type="dxa" w:w="3888"/>
            <w:vAlign w:val="center"/>
            <w:shd w:fill="F2F6FA"/>
          </w:tcPr>
          <w:p>
            <w:pPr>
              <w:spacing w:after="20"/>
            </w:pPr>
            <w:r/>
            <w:r>
              <w:rPr>
                <w:rFonts w:ascii="Aptos" w:hAnsi="Aptos"/>
                <w:b w:val="0"/>
                <w:sz w:val="16"/>
              </w:rPr>
              <w:t>Short inventory identifies what can be reused and what is genuinely missing.</w:t>
            </w:r>
          </w:p>
        </w:tc>
      </w:tr>
      <w:tr>
        <w:tc>
          <w:tcPr>
            <w:tcW w:type="dxa" w:w="1008"/>
            <w:vAlign w:val="center"/>
          </w:tcPr>
          <w:p>
            <w:pPr>
              <w:spacing w:after="20"/>
            </w:pPr>
            <w:r/>
            <w:r>
              <w:rPr>
                <w:rFonts w:ascii="Aptos" w:hAnsi="Aptos"/>
                <w:b w:val="0"/>
                <w:sz w:val="16"/>
              </w:rPr>
              <w:t>2. Define the contract</w:t>
            </w:r>
          </w:p>
        </w:tc>
        <w:tc>
          <w:tcPr>
            <w:tcW w:type="dxa" w:w="5760"/>
            <w:vAlign w:val="center"/>
          </w:tcPr>
          <w:p>
            <w:pPr>
              <w:spacing w:after="20"/>
            </w:pPr>
            <w:r/>
            <w:r>
              <w:rPr>
                <w:rFonts w:ascii="Aptos" w:hAnsi="Aptos"/>
                <w:b w:val="0"/>
                <w:sz w:val="16"/>
              </w:rPr>
              <w:t>Specify minimum request, workflow, result and evidence fields; align identifiers to existing Framework/Factory definitions where they exist.</w:t>
            </w:r>
          </w:p>
        </w:tc>
        <w:tc>
          <w:tcPr>
            <w:tcW w:type="dxa" w:w="3888"/>
            <w:vAlign w:val="center"/>
          </w:tcPr>
          <w:p>
            <w:pPr>
              <w:spacing w:after="20"/>
            </w:pPr>
            <w:r/>
            <w:r>
              <w:rPr>
                <w:rFonts w:ascii="Aptos" w:hAnsi="Aptos"/>
                <w:b w:val="0"/>
                <w:sz w:val="16"/>
              </w:rPr>
              <w:t>One valid sample request and expected result shape.</w:t>
            </w:r>
          </w:p>
        </w:tc>
      </w:tr>
      <w:tr>
        <w:tc>
          <w:tcPr>
            <w:tcW w:type="dxa" w:w="1008"/>
            <w:vAlign w:val="center"/>
            <w:shd w:fill="F2F6FA"/>
          </w:tcPr>
          <w:p>
            <w:pPr>
              <w:spacing w:after="20"/>
            </w:pPr>
            <w:r/>
            <w:r>
              <w:rPr>
                <w:rFonts w:ascii="Aptos" w:hAnsi="Aptos"/>
                <w:b w:val="0"/>
                <w:sz w:val="16"/>
              </w:rPr>
              <w:t>3. Dry-run resolution</w:t>
            </w:r>
          </w:p>
        </w:tc>
        <w:tc>
          <w:tcPr>
            <w:tcW w:type="dxa" w:w="5760"/>
            <w:vAlign w:val="center"/>
            <w:shd w:fill="F2F6FA"/>
          </w:tcPr>
          <w:p>
            <w:pPr>
              <w:spacing w:after="20"/>
            </w:pPr>
            <w:r/>
            <w:r>
              <w:rPr>
                <w:rFonts w:ascii="Aptos" w:hAnsi="Aptos"/>
                <w:b w:val="0"/>
                <w:sz w:val="16"/>
              </w:rPr>
              <w:t>Resolve the capability and implementation without invoking the pilot function.</w:t>
            </w:r>
          </w:p>
        </w:tc>
        <w:tc>
          <w:tcPr>
            <w:tcW w:type="dxa" w:w="3888"/>
            <w:vAlign w:val="center"/>
            <w:shd w:fill="F2F6FA"/>
          </w:tcPr>
          <w:p>
            <w:pPr>
              <w:spacing w:after="20"/>
            </w:pPr>
            <w:r/>
            <w:r>
              <w:rPr>
                <w:rFonts w:ascii="Aptos" w:hAnsi="Aptos"/>
                <w:b w:val="0"/>
                <w:sz w:val="16"/>
              </w:rPr>
              <w:t>Resolution result is explicit; unknown capability/binding fails before execution.</w:t>
            </w:r>
          </w:p>
        </w:tc>
      </w:tr>
      <w:tr>
        <w:tc>
          <w:tcPr>
            <w:tcW w:type="dxa" w:w="1008"/>
            <w:vAlign w:val="center"/>
          </w:tcPr>
          <w:p>
            <w:pPr>
              <w:spacing w:after="20"/>
            </w:pPr>
            <w:r/>
            <w:r>
              <w:rPr>
                <w:rFonts w:ascii="Aptos" w:hAnsi="Aptos"/>
                <w:b w:val="0"/>
                <w:sz w:val="16"/>
              </w:rPr>
              <w:t>4. Bind one pilot function</w:t>
            </w:r>
          </w:p>
        </w:tc>
        <w:tc>
          <w:tcPr>
            <w:tcW w:type="dxa" w:w="5760"/>
            <w:vAlign w:val="center"/>
          </w:tcPr>
          <w:p>
            <w:pPr>
              <w:spacing w:after="20"/>
            </w:pPr>
            <w:r/>
            <w:r>
              <w:rPr>
                <w:rFonts w:ascii="Aptos" w:hAnsi="Aptos"/>
                <w:b w:val="0"/>
                <w:sz w:val="16"/>
              </w:rPr>
              <w:t>Create the smallest wrapper or binding around the selected Phase 4 function.</w:t>
            </w:r>
          </w:p>
        </w:tc>
        <w:tc>
          <w:tcPr>
            <w:tcW w:type="dxa" w:w="3888"/>
            <w:vAlign w:val="center"/>
          </w:tcPr>
          <w:p>
            <w:pPr>
              <w:spacing w:after="20"/>
            </w:pPr>
            <w:r/>
            <w:r>
              <w:rPr>
                <w:rFonts w:ascii="Aptos" w:hAnsi="Aptos"/>
                <w:b w:val="0"/>
                <w:sz w:val="16"/>
              </w:rPr>
              <w:t>No large notebook copy; one implementation identity and source reference.</w:t>
            </w:r>
          </w:p>
        </w:tc>
      </w:tr>
      <w:tr>
        <w:tc>
          <w:tcPr>
            <w:tcW w:type="dxa" w:w="1008"/>
            <w:vAlign w:val="center"/>
            <w:shd w:fill="F2F6FA"/>
          </w:tcPr>
          <w:p>
            <w:pPr>
              <w:spacing w:after="20"/>
            </w:pPr>
            <w:r/>
            <w:r>
              <w:rPr>
                <w:rFonts w:ascii="Aptos" w:hAnsi="Aptos"/>
                <w:b w:val="0"/>
                <w:sz w:val="16"/>
              </w:rPr>
              <w:t>5. Local execution</w:t>
            </w:r>
          </w:p>
        </w:tc>
        <w:tc>
          <w:tcPr>
            <w:tcW w:type="dxa" w:w="5760"/>
            <w:vAlign w:val="center"/>
            <w:shd w:fill="F2F6FA"/>
          </w:tcPr>
          <w:p>
            <w:pPr>
              <w:spacing w:after="20"/>
            </w:pPr>
            <w:r/>
            <w:r>
              <w:rPr>
                <w:rFonts w:ascii="Aptos" w:hAnsi="Aptos"/>
                <w:b w:val="0"/>
                <w:sz w:val="16"/>
              </w:rPr>
              <w:t>Run the deterministic scenario in the local Python environment.</w:t>
            </w:r>
          </w:p>
        </w:tc>
        <w:tc>
          <w:tcPr>
            <w:tcW w:type="dxa" w:w="3888"/>
            <w:vAlign w:val="center"/>
            <w:shd w:fill="F2F6FA"/>
          </w:tcPr>
          <w:p>
            <w:pPr>
              <w:spacing w:after="20"/>
            </w:pPr>
            <w:r/>
            <w:r>
              <w:rPr>
                <w:rFonts w:ascii="Aptos" w:hAnsi="Aptos"/>
                <w:b w:val="0"/>
                <w:sz w:val="16"/>
              </w:rPr>
              <w:t>Returns a run ID, status and result; actual execution mode is accurately labelled.</w:t>
            </w:r>
          </w:p>
        </w:tc>
      </w:tr>
      <w:tr>
        <w:tc>
          <w:tcPr>
            <w:tcW w:type="dxa" w:w="1008"/>
            <w:vAlign w:val="center"/>
          </w:tcPr>
          <w:p>
            <w:pPr>
              <w:spacing w:after="20"/>
            </w:pPr>
            <w:r/>
            <w:r>
              <w:rPr>
                <w:rFonts w:ascii="Aptos" w:hAnsi="Aptos"/>
                <w:b w:val="0"/>
                <w:sz w:val="16"/>
              </w:rPr>
              <w:t>6. Evidence capture</w:t>
            </w:r>
          </w:p>
        </w:tc>
        <w:tc>
          <w:tcPr>
            <w:tcW w:type="dxa" w:w="5760"/>
            <w:vAlign w:val="center"/>
          </w:tcPr>
          <w:p>
            <w:pPr>
              <w:spacing w:after="20"/>
            </w:pPr>
            <w:r/>
            <w:r>
              <w:rPr>
                <w:rFonts w:ascii="Aptos" w:hAnsi="Aptos"/>
                <w:b w:val="0"/>
                <w:sz w:val="16"/>
              </w:rPr>
              <w:t>Write result/evidence records with source revision, parameters, implementation, execution mode, status and result reference.</w:t>
            </w:r>
          </w:p>
        </w:tc>
        <w:tc>
          <w:tcPr>
            <w:tcW w:type="dxa" w:w="3888"/>
            <w:vAlign w:val="center"/>
          </w:tcPr>
          <w:p>
            <w:pPr>
              <w:spacing w:after="20"/>
            </w:pPr>
            <w:r/>
            <w:r>
              <w:rPr>
                <w:rFonts w:ascii="Aptos" w:hAnsi="Aptos"/>
                <w:b w:val="0"/>
                <w:sz w:val="16"/>
              </w:rPr>
              <w:t>A reviewer can trace the result back to the request and implementation.</w:t>
            </w:r>
          </w:p>
        </w:tc>
      </w:tr>
      <w:tr>
        <w:tc>
          <w:tcPr>
            <w:tcW w:type="dxa" w:w="1008"/>
            <w:vAlign w:val="center"/>
            <w:shd w:fill="F2F6FA"/>
          </w:tcPr>
          <w:p>
            <w:pPr>
              <w:spacing w:after="20"/>
            </w:pPr>
            <w:r/>
            <w:r>
              <w:rPr>
                <w:rFonts w:ascii="Aptos" w:hAnsi="Aptos"/>
                <w:b w:val="0"/>
                <w:sz w:val="16"/>
              </w:rPr>
              <w:t>7. Minimal end-to-end test</w:t>
            </w:r>
          </w:p>
        </w:tc>
        <w:tc>
          <w:tcPr>
            <w:tcW w:type="dxa" w:w="5760"/>
            <w:vAlign w:val="center"/>
            <w:shd w:fill="F2F6FA"/>
          </w:tcPr>
          <w:p>
            <w:pPr>
              <w:spacing w:after="20"/>
            </w:pPr>
            <w:r/>
            <w:r>
              <w:rPr>
                <w:rFonts w:ascii="Aptos" w:hAnsi="Aptos"/>
                <w:b w:val="0"/>
                <w:sz w:val="16"/>
              </w:rPr>
              <w:t>Run one happy path and one critical invalid-input/unknown-binding rejection; add no more tests unless a defect or risk warrants it.</w:t>
            </w:r>
          </w:p>
        </w:tc>
        <w:tc>
          <w:tcPr>
            <w:tcW w:type="dxa" w:w="3888"/>
            <w:vAlign w:val="center"/>
            <w:shd w:fill="F2F6FA"/>
          </w:tcPr>
          <w:p>
            <w:pPr>
              <w:spacing w:after="20"/>
            </w:pPr>
            <w:r/>
            <w:r>
              <w:rPr>
                <w:rFonts w:ascii="Aptos" w:hAnsi="Aptos"/>
                <w:b w:val="0"/>
                <w:sz w:val="16"/>
              </w:rPr>
              <w:t>Both outcomes are explicit and repeatable.</w:t>
            </w:r>
          </w:p>
        </w:tc>
      </w:tr>
      <w:tr>
        <w:tc>
          <w:tcPr>
            <w:tcW w:type="dxa" w:w="1008"/>
            <w:vAlign w:val="center"/>
          </w:tcPr>
          <w:p>
            <w:pPr>
              <w:spacing w:after="20"/>
            </w:pPr>
            <w:r/>
            <w:r>
              <w:rPr>
                <w:rFonts w:ascii="Aptos" w:hAnsi="Aptos"/>
                <w:b w:val="0"/>
                <w:sz w:val="16"/>
              </w:rPr>
              <w:t>8. Record and commit</w:t>
            </w:r>
          </w:p>
        </w:tc>
        <w:tc>
          <w:tcPr>
            <w:tcW w:type="dxa" w:w="5760"/>
            <w:vAlign w:val="center"/>
          </w:tcPr>
          <w:p>
            <w:pPr>
              <w:spacing w:after="20"/>
            </w:pPr>
            <w:r/>
            <w:r>
              <w:rPr>
                <w:rFonts w:ascii="Aptos" w:hAnsi="Aptos"/>
                <w:b w:val="0"/>
                <w:sz w:val="16"/>
              </w:rPr>
              <w:t>Update README with exact run command, actual scope/limitations and observed results; review diff and protected assets before a dedicated commit.</w:t>
            </w:r>
          </w:p>
        </w:tc>
        <w:tc>
          <w:tcPr>
            <w:tcW w:type="dxa" w:w="3888"/>
            <w:vAlign w:val="center"/>
          </w:tcPr>
          <w:p>
            <w:pPr>
              <w:spacing w:after="20"/>
            </w:pPr>
            <w:r/>
            <w:r>
              <w:rPr>
                <w:rFonts w:ascii="Aptos" w:hAnsi="Aptos"/>
                <w:b w:val="0"/>
                <w:sz w:val="16"/>
              </w:rPr>
              <w:t>Reproducible local procedure and clean, scoped diff.</w:t>
            </w:r>
          </w:p>
        </w:tc>
      </w:tr>
    </w:tbl>
    <w:p>
      <w:pPr>
        <w:spacing w:after="20"/>
      </w:pPr>
    </w:p>
    <w:p>
      <w:pPr>
        <w:pStyle w:val="Heading1"/>
      </w:pPr>
      <w:r>
        <w:t>8. Minimal test policy</w:t>
      </w:r>
    </w:p>
    <w:p>
      <w:r>
        <w:t>Tests are a means to confirm the first functional use case, not a separate coverage project.</w:t>
      </w:r>
    </w:p>
    <w:p>
      <w:pPr>
        <w:pStyle w:val="ListBullet"/>
        <w:spacing w:after="40"/>
      </w:pPr>
      <w:r>
        <w:t>Required test A — happy path: valid experiment → validation → dry-run resolution → local simulation → structured result → evidence record.</w:t>
      </w:r>
    </w:p>
    <w:p>
      <w:pPr>
        <w:pStyle w:val="ListBullet"/>
        <w:spacing w:after="40"/>
      </w:pPr>
      <w:r>
        <w:t>Required test B — critical rejection: choose one representative pre-execution failure, preferably unknown capability/binding or invalid required input; assert that the implementation is not invoked.</w:t>
      </w:r>
    </w:p>
    <w:p>
      <w:pPr>
        <w:pStyle w:val="ListBullet"/>
        <w:spacing w:after="40"/>
      </w:pPr>
      <w:r>
        <w:t>Retain existing validator/regression suites as already recorded. Rerun only when changes touch those components or a final relevant regression check is required.</w:t>
      </w:r>
    </w:p>
    <w:p>
      <w:pPr>
        <w:pStyle w:val="ListBullet"/>
        <w:spacing w:after="40"/>
      </w:pPr>
      <w:r>
        <w:t>Do not add performance, scalability, mutation, broad edge-case matrices or physical-backend tests for this MVP.</w:t>
      </w:r>
    </w:p>
    <w:p>
      <w:pPr>
        <w:pStyle w:val="ListBullet"/>
        <w:spacing w:after="40"/>
      </w:pPr>
      <w:r>
        <w:t>If dry-run and execution are separate functions, confirm dry-run does not call the implementation. Avoid mocking frameworks if the repository has no established convention; use a simple invocation marker/counter where appropriate.</w:t>
      </w:r>
    </w:p>
    <w:p>
      <w:pPr>
        <w:pStyle w:val="ListBullet"/>
        <w:spacing w:after="40"/>
      </w:pPr>
      <w:r>
        <w:t>Report test count honestly; a passing test confirms the tested behavior, not scientific validity or production readiness.</w:t>
      </w:r>
    </w:p>
    <w:p>
      <w:pPr>
        <w:pStyle w:val="Heading1"/>
      </w:pPr>
      <w:r>
        <w:t>9. Definition of done</w:t>
      </w:r>
    </w:p>
    <w:p>
      <w:pPr>
        <w:pStyle w:val="ListBullet"/>
        <w:spacing w:after="40"/>
      </w:pPr>
      <w:r>
        <w:t>One Agriculture experiment definition is version-controlled and loads successfully.</w:t>
      </w:r>
    </w:p>
    <w:p>
      <w:pPr>
        <w:pStyle w:val="ListBullet"/>
        <w:spacing w:after="40"/>
      </w:pPr>
      <w:r>
        <w:t>The request/workflow is validated before execution.</w:t>
      </w:r>
    </w:p>
    <w:p>
      <w:pPr>
        <w:pStyle w:val="ListBullet"/>
        <w:spacing w:after="40"/>
      </w:pPr>
      <w:r>
        <w:t>The existing registry contract resolves one capability to one explicit implementation, or a documented missing resolver boundary is identified without claiming success.</w:t>
      </w:r>
    </w:p>
    <w:p>
      <w:pPr>
        <w:pStyle w:val="ListBullet"/>
        <w:spacing w:after="40"/>
      </w:pPr>
      <w:r>
        <w:t>A dry run completes without invoking the implementation.</w:t>
      </w:r>
    </w:p>
    <w:p>
      <w:pPr>
        <w:pStyle w:val="ListBullet"/>
        <w:spacing w:after="40"/>
      </w:pPr>
      <w:r>
        <w:t>A local simulation executes and returns a structured result with an explicit execution mode.</w:t>
      </w:r>
    </w:p>
    <w:p>
      <w:pPr>
        <w:pStyle w:val="ListBullet"/>
        <w:spacing w:after="40"/>
      </w:pPr>
      <w:r>
        <w:t>A compact evidence/provenance record links request, implementation, parameters, run, result and validation.</w:t>
      </w:r>
    </w:p>
    <w:p>
      <w:pPr>
        <w:pStyle w:val="ListBullet"/>
        <w:spacing w:after="40"/>
      </w:pPr>
      <w:r>
        <w:t>One happy-path test and one critical rejection test pass.</w:t>
      </w:r>
    </w:p>
    <w:p>
      <w:pPr>
        <w:pStyle w:val="ListBullet"/>
        <w:spacing w:after="40"/>
      </w:pPr>
      <w:r>
        <w:t>README explains how to reproduce the scenario and states what is simulated versus implemented.</w:t>
      </w:r>
    </w:p>
    <w:p>
      <w:pPr>
        <w:pStyle w:val="ListBullet"/>
        <w:spacing w:after="40"/>
      </w:pPr>
      <w:r>
        <w:t>No protected production asset is changed; unrelated .bak files remain untouched.</w:t>
      </w:r>
    </w:p>
    <w:p>
      <w:pPr>
        <w:pStyle w:val="ListBullet"/>
        <w:spacing w:after="40"/>
      </w:pPr>
      <w:r>
        <w:t>No claims of physical QPU execution, quantum advantage, production readiness or remote GitLab execution are made unless separately demonstrated.</w:t>
      </w:r>
    </w:p>
    <w:p>
      <w:pPr>
        <w:pStyle w:val="Heading1"/>
      </w:pPr>
      <w:r>
        <w:t>10. Explicitly deferred</w:t>
      </w:r>
    </w:p>
    <w:p>
      <w:pPr>
        <w:pStyle w:val="ListBullet"/>
        <w:spacing w:after="40"/>
      </w:pPr>
      <w:r>
        <w:t>Registry Resolver Adapter integration and changes to protected production bindings/bootstrapper.</w:t>
      </w:r>
    </w:p>
    <w:p>
      <w:pPr>
        <w:pStyle w:val="ListBullet"/>
        <w:spacing w:after="40"/>
      </w:pPr>
      <w:r>
        <w:t>GitLab Connector/Runner execution and GitHub notebook retrieval as live integrated behavior; the current manifest is an integration candidate, not proof of a working chain.</w:t>
      </w:r>
    </w:p>
    <w:p>
      <w:pPr>
        <w:pStyle w:val="ListBullet"/>
        <w:spacing w:after="40"/>
      </w:pPr>
      <w:r>
        <w:t>React Flow visual designer, browser IDE, Theia, Eclipse Che or GLSP.</w:t>
      </w:r>
    </w:p>
    <w:p>
      <w:pPr>
        <w:pStyle w:val="ListBullet"/>
        <w:spacing w:after="40"/>
      </w:pPr>
      <w:r>
        <w:t>Production Resource Fabric, scheduling, GPU/HPC/QPU allocation, dynamic discovery or cost optimization.</w:t>
      </w:r>
    </w:p>
    <w:p>
      <w:pPr>
        <w:pStyle w:val="ListBullet"/>
        <w:spacing w:after="40"/>
      </w:pPr>
      <w:r>
        <w:t>MLflow dependency if not already available; can be added after the local lifecycle is proven.</w:t>
      </w:r>
    </w:p>
    <w:p>
      <w:pPr>
        <w:pStyle w:val="ListBullet"/>
        <w:spacing w:after="40"/>
      </w:pPr>
      <w:r>
        <w:t>Full Phase 5 closed-loop control, broad Phase 6–7 evaluation, Phase 9–10 fabric integration and Phase 12 physical package assembly.</w:t>
      </w:r>
    </w:p>
    <w:p>
      <w:pPr>
        <w:pStyle w:val="ListBullet"/>
        <w:spacing w:after="40"/>
      </w:pPr>
      <w:r>
        <w:t>Production SaaS, multi-tenancy, cloud deployment, remote services and physical quantum execution.</w:t>
      </w:r>
    </w:p>
    <w:p>
      <w:pPr>
        <w:pStyle w:val="Heading1"/>
      </w:pPr>
      <w:r>
        <w:t>11. Working session checklist</w:t>
      </w:r>
    </w:p>
    <w:p>
      <w:pPr>
        <w:pStyle w:val="ListBullet"/>
        <w:spacing w:after="40"/>
      </w:pPr>
      <w:r>
        <w:t>Confirm repository root and current branch/status.</w:t>
      </w:r>
    </w:p>
    <w:p>
      <w:pPr>
        <w:pStyle w:val="ListBullet"/>
        <w:spacing w:after="40"/>
      </w:pPr>
      <w:r>
        <w:t>Inspect existing workflow, resolver, binding, execution and evidence code before creating anything.</w:t>
      </w:r>
    </w:p>
    <w:p>
      <w:pPr>
        <w:pStyle w:val="ListBullet"/>
        <w:spacing w:after="40"/>
      </w:pPr>
      <w:r>
        <w:t>Inspect candidate Phase 4 cells and choose one independent function with minimal dependencies.</w:t>
      </w:r>
    </w:p>
    <w:p>
      <w:pPr>
        <w:pStyle w:val="ListBullet"/>
        <w:spacing w:after="40"/>
      </w:pPr>
      <w:r>
        <w:t>Confirm whether an executable registry consumer already exists; do not assume the registry JSON is itself a resolver.</w:t>
      </w:r>
    </w:p>
    <w:p>
      <w:pPr>
        <w:pStyle w:val="ListBullet"/>
        <w:spacing w:after="40"/>
      </w:pPr>
      <w:r>
        <w:t>Agree on the minimum request/result/evidence shape.</w:t>
      </w:r>
    </w:p>
    <w:p>
      <w:pPr>
        <w:pStyle w:val="ListBullet"/>
        <w:spacing w:after="40"/>
      </w:pPr>
      <w:r>
        <w:t>Implement the dry run before invocation.</w:t>
      </w:r>
    </w:p>
    <w:p>
      <w:pPr>
        <w:pStyle w:val="ListBullet"/>
        <w:spacing w:after="40"/>
      </w:pPr>
      <w:r>
        <w:t>Run the two minimum functional checks.</w:t>
      </w:r>
    </w:p>
    <w:p>
      <w:pPr>
        <w:pStyle w:val="ListBullet"/>
        <w:spacing w:after="40"/>
      </w:pPr>
      <w:r>
        <w:t>Review `git diff --check`, `git status -sb`, and diffs for protected assets.</w:t>
      </w:r>
    </w:p>
    <w:p>
      <w:pPr>
        <w:pStyle w:val="ListBullet"/>
        <w:spacing w:after="40"/>
      </w:pPr>
      <w:r>
        <w:t>Document observed behavior, limitations and next increment.</w:t>
      </w:r>
    </w:p>
    <w:p>
      <w:pPr>
        <w:pStyle w:val="Heading1"/>
      </w:pPr>
      <w:r>
        <w:t>12. Final recommendation</w:t>
      </w:r>
    </w:p>
    <w:p>
      <w:r>
        <w:t>The most economical path is not to build the whole PaaS or to rerun the entire pilot. It is to extract one small, deterministic Agriculture workflow from the existing notebook, wrap it with the smallest compatible contract, resolve it through the existing Factory mechanism where available, execute locally, and capture traceable evidence. Only after that path works should the project add an alternative emulator path, MLflow, remote GitLab execution, resource resolution or a visual designer.</w:t>
      </w:r>
    </w:p>
    <w:p>
      <w:r>
        <w:rPr>
          <w:b/>
        </w:rPr>
        <w:t xml:space="preserve">Status note: </w:t>
      </w:r>
      <w:r>
        <w:t>This plan consolidates the supplied post-pilot strategy/MVP documents and the recent Registry Resolver review. It is a proposed development baseline; it does not assert that unverified integrations already exist.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Working development plan • Minimal first use case • 11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46E"/>
        <w:sz w:val="16"/>
      </w:rPr>
      <w:t>BHADALE IT  |  QAI LAB POST-PILOT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2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2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