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07F86"/>
          <w:sz w:val="28"/>
        </w:rPr>
        <w:t>BHADALE IT</w:t>
      </w:r>
    </w:p>
    <w:p>
      <w:pPr>
        <w:pStyle w:val="Title"/>
        <w:jc w:val="center"/>
      </w:pPr>
      <w:r>
        <w:t>QAI Commercial Planning &amp; Offer Architecture</w:t>
      </w:r>
    </w:p>
    <w:p>
      <w:pPr>
        <w:jc w:val="center"/>
      </w:pPr>
      <w:r>
        <w:rPr>
          <w:b/>
          <w:color w:val="365F91"/>
          <w:sz w:val="30"/>
        </w:rPr>
        <w:t>AI • Quantum • Quantum-AI Platform Services</w:t>
      </w:r>
    </w:p>
    <w:p>
      <w:pPr>
        <w:jc w:val="center"/>
      </w:pPr>
      <w:r>
        <w:rPr>
          <w:sz w:val="24"/>
        </w:rPr>
        <w:t>SaaS  |  PaaS  |  IaaS  |  QAI Lab as a Service</w:t>
      </w:r>
    </w:p>
    <w:p/>
    <w:p>
      <w:pPr>
        <w:jc w:val="center"/>
      </w:pPr>
      <w:r>
        <w:rPr>
          <w:i/>
        </w:rPr>
        <w:t>Commercial planning blueprint — agriculture first, designed for cross-domain reuse</w:t>
      </w:r>
    </w:p>
    <w:p>
      <w:pPr>
        <w:jc w:val="center"/>
      </w:pPr>
      <w:r>
        <w:rPr>
          <w:b/>
        </w:rPr>
        <w:t>Prepared for Bhadale IT Pvt. Ltd.</w:t>
      </w:r>
    </w:p>
    <w:p>
      <w:pPr>
        <w:jc w:val="center"/>
      </w:pPr>
      <w:r>
        <w:t>Planning draft • October 2026</w:t>
      </w:r>
    </w:p>
    <w:p>
      <w:r>
        <w:br w:type="page"/>
      </w:r>
    </w:p>
    <w:p>
      <w:pPr>
        <w:pStyle w:val="Heading1"/>
      </w:pPr>
      <w:r>
        <w:t>Document purpose and use</w:t>
      </w:r>
    </w:p>
    <w:p>
      <w:r>
        <w:t>This document turns the current QAI and Digital Farm capability context into a commercial planning framework for product packaging, offer definition, pilot design, integration planning, pricing, sales qualification and staged productization. It is a planning draft, not a claim that every capability is production-ready.</w:t>
      </w:r>
    </w:p>
    <w:p>
      <w:r>
        <w:t>Core principle: preserve existing deep-tech and platform assets as a reusable engine; build the commercial product layer around them—onboarding, configuration, entitlements, integrations, user experience, support, evidence and billing—rather than rebuilding the core.</w:t>
      </w:r>
    </w:p>
    <w:p>
      <w:pPr>
        <w:pStyle w:val="Heading1"/>
      </w:pPr>
      <w:r>
        <w:t>Executive summary</w:t>
      </w:r>
    </w:p>
    <w:p>
      <w:pPr>
        <w:pStyle w:val="ListBullet"/>
        <w:spacing w:after="40"/>
      </w:pPr>
      <w:r>
        <w:t>Lead with customer outcomes and a narrow, measurable use case; explain AI/Quantum/QAI as the enabling approach rather than the product promise by itself.</w:t>
      </w:r>
    </w:p>
    <w:p>
      <w:pPr>
        <w:pStyle w:val="ListBullet"/>
        <w:spacing w:after="40"/>
      </w:pPr>
      <w:r>
        <w:t>Use one shared platform architecture with four distinct commercial entry points: SaaS for ready-to-use outcomes, PaaS for building and integrating solutions, IaaS for controlled infrastructure/resource access, and QAI Lab as a Service for advanced experimentation and engineering.</w:t>
      </w:r>
    </w:p>
    <w:p>
      <w:pPr>
        <w:pStyle w:val="ListBullet"/>
        <w:spacing w:after="40"/>
      </w:pPr>
      <w:r>
        <w:t>Start in agriculture through Digital Farm, using QAI-CROP, QAI-WATER, QAI-ASSET, QAI-INVENTORY, QAI-WORKFORCE and QAI-ECONOMY as the initial domain catalogue.</w:t>
      </w:r>
    </w:p>
    <w:p>
      <w:pPr>
        <w:pStyle w:val="ListBullet"/>
        <w:spacing w:after="40"/>
      </w:pPr>
      <w:r>
        <w:t>Prioritize a virtual-first, evidence-driven pilot with synthetic or authorized data, a classical baseline, measurable KPIs and human approval for consequential actions.</w:t>
      </w:r>
    </w:p>
    <w:p>
      <w:pPr>
        <w:pStyle w:val="ListBullet"/>
        <w:spacing w:after="40"/>
      </w:pPr>
      <w:r>
        <w:t>Do not set fixed prices until delivery cost, hosting, support, third-party services, integration effort and customer requirements are understood. Keep hardware and external compute/QPU charges separately quoted.</w:t>
      </w:r>
    </w:p>
    <w:p>
      <w:pPr>
        <w:pStyle w:val="Heading1"/>
      </w:pPr>
      <w:r>
        <w:t>1. Commercial objectives and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Commercial implication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Make existing IP sellable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Package capabilities into clear offers, modules and service levels.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not present a prototype or research capability as production-ready without validation.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Reuse across domains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platform capabilities from domain modules and customer configuration.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Avoid forking the core for every customer without a justified product decision.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Show value early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 bounded discovery/feasibility and a measurable pilot.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unverified quantum advantage, savings or performance claims.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Enable partner integration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Publish interface contracts and provide supported connectors/sandbox access.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Respect data rights, permissions, security and third-party licensing.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recurring revenue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Combine subscriptions with usage, integration and support charges.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not underprice support, hosting, data onboarding or specialist time.</w:t>
            </w:r>
          </w:p>
        </w:tc>
      </w:tr>
    </w:tbl>
    <w:p/>
    <w:p>
      <w:pPr>
        <w:pStyle w:val="Heading1"/>
      </w:pPr>
      <w:r>
        <w:t>2. Offer architecture: one platform, four commercial doors</w:t>
      </w:r>
    </w:p>
    <w:p>
      <w:r>
        <w:t>The four offers are complementary service models over shared platform foundations. A customer may start with one and add others as needs mature; they are not four unrelated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Offer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Customer buys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audience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Commercial unit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deliverables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SaaS — Digital Farm / AI applications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Ready-to-use workflows, dashboards and recommendations.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Growers, farm managers, agribusiness operators, cooperatives.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 farm/site/business subscription; optional modules and support tier.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dashboard, asset/inventory views, water/crop workflows, reports, alerts and decision support.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PaaS — QAI Platform Services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Tools and APIs to build, integrate, configure and run domain solutions.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Developers, solution integrators, ISVs, enterprise digital teams.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 team/environment plus API, workflow or execution usage; integration packages.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APIs, workflow tools, virtual CPS/Digital Twin services, simulation, orchestration and evidence capture.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IaaS — QAI Infrastructure Services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Controlled access to compute, storage, network, edge and qualified specialist resources.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Infrastructure teams, datacenter operators, research and enterprise architects.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Reserved capacity, usage, managed deployment and support.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profiles, isolated environments, deployment support and usage reporting.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Lab as a Service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An engineering/research environment for designing and evaluating AI, quantum and hybrid workflows.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Research groups, advanced technical teams, universities, R&amp;D and product teams.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Lab subscription/project, experiment or compute usage, training and specialist support.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Experiment templates, simulators/emulators, workflow runs, baseline comparisons, result reports and reproducibility artefacts.</w:t>
            </w:r>
          </w:p>
        </w:tc>
      </w:tr>
    </w:tbl>
    <w:p/>
    <w:p>
      <w:pPr>
        <w:pStyle w:val="Heading2"/>
      </w:pPr>
      <w:r>
        <w:t>2.1 Offer positioning</w:t>
      </w:r>
    </w:p>
    <w:p>
      <w:pPr>
        <w:pStyle w:val="ListBullet"/>
        <w:spacing w:after="40"/>
      </w:pPr>
      <w:r>
        <w:t>SaaS = outcomes and usability.</w:t>
      </w:r>
    </w:p>
    <w:p>
      <w:pPr>
        <w:pStyle w:val="ListBullet"/>
        <w:spacing w:after="40"/>
      </w:pPr>
      <w:r>
        <w:t>PaaS = flexibility and solution-building capability.</w:t>
      </w:r>
    </w:p>
    <w:p>
      <w:pPr>
        <w:pStyle w:val="ListBullet"/>
        <w:spacing w:after="40"/>
      </w:pPr>
      <w:r>
        <w:t>IaaS = control over infrastructure and deployment.</w:t>
      </w:r>
    </w:p>
    <w:p>
      <w:pPr>
        <w:pStyle w:val="ListBullet"/>
        <w:spacing w:after="40"/>
      </w:pPr>
      <w:r>
        <w:t>QAI Lab as a Service = experimentation, engineering and evidence.</w:t>
      </w:r>
    </w:p>
    <w:p>
      <w:pPr>
        <w:pStyle w:val="Heading2"/>
      </w:pPr>
      <w:r>
        <w:t>2.2 Shared platform services</w:t>
      </w:r>
    </w:p>
    <w:p>
      <w:pPr>
        <w:pStyle w:val="ListBullet"/>
        <w:spacing w:after="40"/>
      </w:pPr>
      <w:r>
        <w:t>Identity, roles, tenancy and access policy.</w:t>
      </w:r>
    </w:p>
    <w:p>
      <w:pPr>
        <w:pStyle w:val="ListBullet"/>
        <w:spacing w:after="40"/>
      </w:pPr>
      <w:r>
        <w:t>Tenant/workspace provisioning, configuration and entitlement management.</w:t>
      </w:r>
    </w:p>
    <w:p>
      <w:pPr>
        <w:pStyle w:val="ListBullet"/>
        <w:spacing w:after="40"/>
      </w:pPr>
      <w:r>
        <w:t>QAI Hub, runtime/orchestration and workflow execution where validated.</w:t>
      </w:r>
    </w:p>
    <w:p>
      <w:pPr>
        <w:pStyle w:val="ListBullet"/>
        <w:spacing w:after="40"/>
      </w:pPr>
      <w:r>
        <w:t>Data ingestion, APIs, connectors and domain service interfaces.</w:t>
      </w:r>
    </w:p>
    <w:p>
      <w:pPr>
        <w:pStyle w:val="ListBullet"/>
        <w:spacing w:after="40"/>
      </w:pPr>
      <w:r>
        <w:t>Experiment state, logs, metrics, provenance, evidence and export.</w:t>
      </w:r>
    </w:p>
    <w:p>
      <w:pPr>
        <w:pStyle w:val="ListBullet"/>
        <w:spacing w:after="40"/>
      </w:pPr>
      <w:r>
        <w:t>Usage metering, subscription administration, support workflows and audit trails.</w:t>
      </w:r>
    </w:p>
    <w:p>
      <w:pPr>
        <w:pStyle w:val="ListBullet"/>
        <w:spacing w:after="40"/>
      </w:pPr>
      <w:r>
        <w:t>Security controls, environment separation, deployment configuration and operational monitoring.</w:t>
      </w:r>
    </w:p>
    <w:p>
      <w:r>
        <w:t>These are target commercial service boundaries. Confirm which functions already exist, which are partial, and which require implementation before advertising them as included features.</w:t>
      </w:r>
    </w:p>
    <w:p>
      <w:pPr>
        <w:pStyle w:val="Heading1"/>
      </w:pPr>
      <w:r>
        <w:t>3. Agriculture-first product family: Digital Farm</w:t>
      </w:r>
    </w:p>
    <w:p>
      <w:r>
        <w:t>Digital Farm is the first domain composition on the reusable QAI platform. It should provide a simple experience for farm/business users while preserving advanced platform and lab capabilities for technical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Product/module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Customer problem / use case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Package position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needed before commercial claim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Essentials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Bring farm/site, crop, asset and operational information into one working view.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SaaS entry package.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onboarding, data model, permissions, usability and export.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QAI-WATER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Water monitoring, demand estimation, irrigation scheduling/allocation and drought scenarios.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Core/add-on; strong pilot candidate.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Compare recommendations with documented baseline; quantify data coverage and constraints.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QAI-CROP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Crop-related monitoring, scenarios and decision support.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Core/add-on based on supported workflows.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 supported crops, inputs, model limits and validation approach.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QAI-ASSET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farm assets and relevant virtual representations.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Operations bundle.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 asset schema, update process, audit and integrations.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QAI-INVENTORY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inventory and operational inputs/outputs.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Operations bundle.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transactions, units, reconciliation and import/export.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QAI-WORKFORCE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Represent workforce/tasks and operational coordination.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Operations or enterprise module.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 roles, scheduling boundaries, privacy and workflow ownership.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QAI-ECONOMY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Support economic scenarios and farm-level value assessment.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Advanced analytics/enterprise module.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 assumptions, cost inputs, uncertainty and decision-support disclaimers.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Integration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Connect approved farm data sources and other agricultural systems.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Paid onboarding or connector package.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 each source, authentication, schema/version changes and failure handling.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Farm Intelligence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Natural-language assistance over authorized farm context and platform outputs.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AI-enabled SaaS tier/add-on.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Evaluate answer quality, data access, provenance and safe fallback.</w:t>
            </w:r>
          </w:p>
        </w:tc>
      </w:tr>
    </w:tbl>
    <w:p/>
    <w:p>
      <w:pPr>
        <w:pStyle w:val="Heading2"/>
      </w:pPr>
      <w:r>
        <w:t>3.1 Recommended first commercial pilot</w:t>
      </w:r>
    </w:p>
    <w:p>
      <w:r>
        <w:t>Candidate: irrigation planning and water-use decision support through QAI-WATER, with a Digital Farm view and an optional AI assistant.</w:t>
      </w:r>
    </w:p>
    <w:p>
      <w:pPr>
        <w:pStyle w:val="ListNumber"/>
        <w:spacing w:after="40"/>
      </w:pPr>
      <w:r>
        <w:t>Agree the farm/site, decision owner, operating context and a specific decision to improve.</w:t>
      </w:r>
    </w:p>
    <w:p>
      <w:pPr>
        <w:pStyle w:val="ListNumber"/>
        <w:spacing w:after="40"/>
      </w:pPr>
      <w:r>
        <w:t>Document current practice and baseline KPIs before running the proposed workflow.</w:t>
      </w:r>
    </w:p>
    <w:p>
      <w:pPr>
        <w:pStyle w:val="ListNumber"/>
        <w:spacing w:after="40"/>
      </w:pPr>
      <w:r>
        <w:t>Start with synthetic, sample or explicitly authorized data; record data gaps and assumptions.</w:t>
      </w:r>
    </w:p>
    <w:p>
      <w:pPr>
        <w:pStyle w:val="ListNumber"/>
        <w:spacing w:after="40"/>
      </w:pPr>
      <w:r>
        <w:t>Run a classical/reference method first; evaluate the QAI/hybrid candidate only where appropriate.</w:t>
      </w:r>
    </w:p>
    <w:p>
      <w:pPr>
        <w:pStyle w:val="ListNumber"/>
        <w:spacing w:after="40"/>
      </w:pPr>
      <w:r>
        <w:t>Compare output quality, runtime, robustness, operational fit and estimated economic value.</w:t>
      </w:r>
    </w:p>
    <w:p>
      <w:pPr>
        <w:pStyle w:val="ListNumber"/>
        <w:spacing w:after="40"/>
      </w:pPr>
      <w:r>
        <w:t>Use a human approval gate for recommendations that could affect irrigation, safety, cost or production.</w:t>
      </w:r>
    </w:p>
    <w:p>
      <w:pPr>
        <w:pStyle w:val="ListNumber"/>
        <w:spacing w:after="40"/>
      </w:pPr>
      <w:r>
        <w:t>Produce an evidence pack and a conversion decision: stop, refine, extend the pilot or subscribe.</w:t>
      </w:r>
    </w:p>
    <w:p>
      <w:r>
        <w:t>Illustrative KPIs: water-use estimate, schedule feasibility, expected versus observed outcome, constraint violations, runtime, data completeness, operator acceptance and estimated cost/value. Select only those measurable in the actual pilot. Do not promise water savings before evidence exists.</w:t>
      </w:r>
    </w:p>
    <w:p>
      <w:pPr>
        <w:pStyle w:val="Heading1"/>
      </w:pPr>
      <w:r>
        <w:t>4. AI, Quantum and QAI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Offer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AI positioning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Quantum positioning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QAI/hybrid positioning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SaaS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 for summarization, anomaly flags, forecasting or decision support only where validated.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not imply a QPU is required for ordinary SaaS functions.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Hybrid capability is optional and selected by suitability/evidence.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PaaS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Expose model/workflow integration, evaluation and deployment interfaces.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Adapters/access pathways only for supported simulators, services or hardware.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Workflow orchestration, virtual assets, simulation and candidate comparison where implemented.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IaaS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Suitable classical compute and deployment profiles for AI workloads.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QPU access and specialized control hardware are separate, qualified resources.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selection/routing only where discovery, compatibility and deployment are implemented and tested.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Lab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Experiment design, data/model evaluation and reproducibility.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Simulator/emulator or partner/hardware experiments where access is available.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Evidence-led environment for classical baselines, hybrid candidates, constraints and comparison.</w:t>
            </w:r>
          </w:p>
        </w:tc>
      </w:tr>
    </w:tbl>
    <w:p/>
    <w:p>
      <w:r>
        <w:t>Commercial rule: classical-first does not mean classical-only. Each proposed QAI method must pass a suitability and evidence gate. Quantum advantage is a hypothesis to test, not a default marketing claim.</w:t>
      </w:r>
    </w:p>
    <w:p>
      <w:pPr>
        <w:pStyle w:val="Heading1"/>
      </w:pPr>
      <w:r>
        <w:t>5. Customer segments and buying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Customer profile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Entry offer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Likely need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Grower / farm operator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Digital Farm SaaS demo or bounded pilot.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Simple workflows, farm data onboarding, useful operational decisions.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Subscribe to small module set; add integrations as value is proven.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Agribusiness / cooperative / farm network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Multi-site SaaS plus integration discovery.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Portfolio views, roles, reporting, shared data and support.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Paid onboarding, multi-site subscription and agreed service levels.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Developer / solution integrator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PaaS sandbox and technical workshop.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APIs, workflow composition, domain connectors and deployment path.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Team/environment plan plus usage and integration work.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Enterprise infrastructure/datacenter team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Architecture discovery and IaaS assessment.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Capacity, sovereignty, isolation, connectivity and operating model.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Design/implementation engagement; separately scope infrastructure/vendor costs.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Research/advanced R&amp;D team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Lab discovery session.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Experiment design, simulators/emulators, evaluation and reproducibility.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Time-boxed lab project, subscription or research engagement.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Government / public-sector / research program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Problem-led discovery and evidence-backed pilot.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Public value, assurance, procurement fit, data governance and auditable results.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Supplier qualification and assurance review specific to buyer/jurisdiction.</w:t>
            </w:r>
          </w:p>
        </w:tc>
      </w:tr>
    </w:tbl>
    <w:p/>
    <w:p>
      <w:pPr>
        <w:pStyle w:val="Heading1"/>
      </w:pPr>
      <w:r>
        <w:t>6. Cross-domain expansion model</w:t>
      </w:r>
    </w:p>
    <w:p>
      <w:r>
        <w:t>After agriculture, reuse the same platform services and commercial model. A new domain is a composition of domain models, data contracts, workflows, integrations, validation and customer-specific configuration—not a new platform from scratch.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Potential domain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Illustrative first problem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Reusable platform elements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Domain-specific work required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Agriculture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Water/crop decisions, farm operations and asset visibility.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Identity, ingestion, workflows, virtual assets, simulation, evidence.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Agronomy, farm data, crop/water models, field validation and connectors.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Energy and utilities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Asset monitoring, demand scenarios or operational planning.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Time-series ingestion, simulation, optimization workflow, audit.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Energy models, telemetry contracts, safety constraints and validation.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Industrial engineering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Production/asset scenarios and maintenance planning.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Digital Twin, workflow engine, integration and reporting.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Equipment models, industrial protocols, procedures and validation.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Datacenter and compute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Workload placement, resource planning and deployment evidence.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abstraction, orchestration, policy, telemetry and audit.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Hardware compatibility, capacity model, operations and vendor adapters.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Infrastructure resilience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Scenario analysis, risk/continuity planning and asset prioritization.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Scenario engine, evidence capture, role-based workflows.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Hazard data, risk frameworks and expert review.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Public service / case workflows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AI-assisted workflow routing and service process analysis.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Identity, workflow, data access, evaluation and audit.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Policy, privacy, records retention, accessibility and procurement assurance.</w:t>
            </w:r>
          </w:p>
        </w:tc>
      </w:tr>
    </w:tbl>
    <w:p/>
    <w:p>
      <w:r>
        <w:t>These are candidate expansion areas, not validated product commitments. Prioritize only when a named customer problem, accessible data, domain expertise and a feasible pilot exist.</w:t>
      </w:r>
    </w:p>
    <w:p>
      <w:pPr>
        <w:pStyle w:val="Heading1"/>
      </w:pPr>
      <w:r>
        <w:t>7. Integration and interoperability plan</w:t>
      </w:r>
    </w:p>
    <w:p>
      <w:pPr>
        <w:pStyle w:val="ListBullet"/>
        <w:spacing w:after="40"/>
      </w:pPr>
      <w:r>
        <w:t>Begin with controlled CSV/spreadsheet import and export to reduce friction for early pilots.</w:t>
      </w:r>
    </w:p>
    <w:p>
      <w:pPr>
        <w:pStyle w:val="ListBullet"/>
        <w:spacing w:after="40"/>
      </w:pPr>
      <w:r>
        <w:t>Add documented REST/API integrations where the external system and access permissions support them.</w:t>
      </w:r>
    </w:p>
    <w:p>
      <w:pPr>
        <w:pStyle w:val="ListBullet"/>
        <w:spacing w:after="40"/>
      </w:pPr>
      <w:r>
        <w:t>Create adapters for weather/environmental feeds, sensors/IoT, machinery, satellite-derived data or farm-management systems only when a concrete use case justifies them.</w:t>
      </w:r>
    </w:p>
    <w:p>
      <w:pPr>
        <w:pStyle w:val="ListBullet"/>
        <w:spacing w:after="40"/>
      </w:pPr>
      <w:r>
        <w:t>Plan upstream/downstream value-chain connections (inventory, commerce, supply chain or traceability) only after the actual catalogue and target systems are reviewed.</w:t>
      </w:r>
    </w:p>
    <w:p>
      <w:pPr>
        <w:pStyle w:val="ListBullet"/>
        <w:spacing w:after="40"/>
      </w:pPr>
      <w:r>
        <w:t>For each connector, specify operations, fields/units, authentication, data ownership, rate limits, error behavior, retries, versioning, tests and support owner.</w:t>
      </w:r>
    </w:p>
    <w:p>
      <w:pPr>
        <w:pStyle w:val="ListBullet"/>
        <w:spacing w:after="40"/>
      </w:pPr>
      <w:r>
        <w:t>Separate customer data from shared product configuration; log access and support revocation/export/deletion according to contract and applicable requirements.</w:t>
      </w:r>
    </w:p>
    <w:p>
      <w:pPr>
        <w:pStyle w:val="ListBullet"/>
        <w:spacing w:after="40"/>
      </w:pPr>
      <w:r>
        <w:t>Provide a sandbox and sample data for PaaS customers; do not expose production credentials or confidential customer data in examples.</w:t>
      </w:r>
    </w:p>
    <w:p>
      <w:pPr>
        <w:pStyle w:val="Heading1"/>
      </w:pPr>
      <w:r>
        <w:t>8. Packaging and commercial bundles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Bundle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Who it serves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Included scope to define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Upgrade path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Discover / Feasibility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with problem but uncertain solution fit.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Workshops, data-readiness check, baseline/KPIs, architecture, risks and pilot recommendation.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Paid pilot.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Digital Farm Starter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One farm/site or small operator.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workspace, agreed basic module(s), limited onboarding, standard reports and support boundary.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modules, sites and integrations.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Digital Farm Intelligence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Operators needing more decision support.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Selected AI-assisted workflows, validated domain module(s), KPI reporting and usage limits.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Advanced analytics, PaaS APIs or enterprise support.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Multi-site / Enterprise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Agribusiness, cooperative or larger organization.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Multi-site administration, roles, integrations, reporting and deployment/support options.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Dedicated/hybrid deployment and broader platform services.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Developer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Developer teams and integrators.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Sandbox, documented APIs, sample workflows, test data and usage quota.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 environment, higher quotas, connectors and support.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Infrastructure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Infrastructure/operations teams.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Defined resource profile, environment/deployment scope, monitoring and support boundary.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Capacity expansion or managed operation.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Lab Project / Subscription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Advanced R&amp;D and research teams.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Experiment workspace, approved tools, simulator/emulator access as available, run quota, evidence export and expert time option.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Longer research project, specialist hardware access or custom engineering.</w:t>
            </w:r>
          </w:p>
        </w:tc>
      </w:tr>
    </w:tbl>
    <w:p/>
    <w:p>
      <w:r>
        <w:t>Bundle names are working labels. Final entitlements, limits, service levels, deployment models and included support must be specified before publication.</w:t>
      </w:r>
    </w:p>
    <w:p>
      <w:pPr>
        <w:pStyle w:val="Heading1"/>
      </w:pPr>
      <w:r>
        <w:t>9. Pricing architecture and cost model</w:t>
      </w:r>
    </w:p>
    <w:p>
      <w:r>
        <w:t>Build a price model from measurable cost drivers and customer value. Do not publish arbitrary list prices until the actual hosting, support, usage, integration and third-party cost baseline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Revenue component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Possible pricing unit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Cost/contract items to model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SaaS subscription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 farm/site/business per month or year; module add-ons.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Hosting, storage, support, data transfer, users, backup and monitoring.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PaaS subscription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 team/environment; API calls, workflow runs or usage bands.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Runtime/compute, logs, storage, API operations, tenant isolation and support.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IaaS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Capacity reservation, metered usage, managed deployment or operations.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Hardware/cloud, networking, power/site costs where relevant, maintenance, security and SLAs.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Lab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Project fee, lab subscription, experiment/run quota, specialist day rate.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Research/engineering time, compute, simulator/hardware access, review and reporting.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Onboarding and integration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Fixed scoped package or time-and-materials with cap.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 cleanup, mapping, connector build, testing, migration and customer coordination.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 and support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 session, package, or tiered support plan.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Preparation, delivery, response commitments, escalation and documentation.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Third-party pass-through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Quoted separately or transparently metered.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Cloud, data, QPU access, specialist software, hardware and vendor support.</w:t>
            </w:r>
          </w:p>
        </w:tc>
      </w:tr>
    </w:tbl>
    <w:p/>
    <w:p>
      <w:pPr>
        <w:pStyle w:val="Heading2"/>
      </w:pPr>
      <w:r>
        <w:t>9.1 Internal unit economics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Planning question / formula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Direct delivery cost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Engineering + onboarding + support + cloud/compute + data/service costs for expected usage.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Target gross margin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an approved company target; do not assume one without management decision.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Indicative floor price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Direct delivery cost ÷ (1 − target gross-margin rate), with overhead/tax/contingency treatment defined.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Usage assumptions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Typical/high/peak usage; experiment duration; storage/egress; API/workflow volume; support demand.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Risk/contingency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Integration uncertainty, vendor price changes, security needs, travel and hardware lead times.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Commercial terms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Currency, billing cycle, payment milestones, taxes, renewal, overage, cancellation, data export and change control.</w:t>
            </w:r>
          </w:p>
        </w:tc>
      </w:tr>
    </w:tbl>
    <w:p/>
    <w:p>
      <w:r>
        <w:t>Keep proposal pricing modular: software subscription, implementation, integrations, support, cloud/compute, specialist research and hardware should be separable. For hardware-heavy or QPU-dependent projects, use vendor quotes and explicit assumptions rather than bundling unpriced risk into software.</w:t>
      </w:r>
    </w:p>
    <w:p>
      <w:pPr>
        <w:pStyle w:val="Heading1"/>
      </w:pPr>
      <w:r>
        <w:t>10. Sales funnel and qualification</w:t>
      </w:r>
    </w:p>
    <w:p>
      <w:pPr>
        <w:pStyle w:val="ListNumber"/>
        <w:spacing w:after="40"/>
      </w:pPr>
      <w:r>
        <w:t>Identify a specific buyer, domain problem, decision owner and business consequence.</w:t>
      </w:r>
    </w:p>
    <w:p>
      <w:pPr>
        <w:pStyle w:val="ListNumber"/>
        <w:spacing w:after="40"/>
      </w:pPr>
      <w:r>
        <w:t>Run discovery and score urgency, data availability, decision frequency, integration access, measurable value and procurement path.</w:t>
      </w:r>
    </w:p>
    <w:p>
      <w:pPr>
        <w:pStyle w:val="ListNumber"/>
        <w:spacing w:after="40"/>
      </w:pPr>
      <w:r>
        <w:t>Demonstrate the nearest existing workflow using synthetic or authorized sample data; label simulated elements clearly.</w:t>
      </w:r>
    </w:p>
    <w:p>
      <w:pPr>
        <w:pStyle w:val="ListNumber"/>
        <w:spacing w:after="40"/>
      </w:pPr>
      <w:r>
        <w:t>Offer paid feasibility/discovery when scope or data readiness is uncertain.</w:t>
      </w:r>
    </w:p>
    <w:p>
      <w:pPr>
        <w:pStyle w:val="ListNumber"/>
        <w:spacing w:after="40"/>
      </w:pPr>
      <w:r>
        <w:t>Agree a time-boxed pilot with baseline, success criteria, responsibilities, data rights, security boundaries and stop/go decision.</w:t>
      </w:r>
    </w:p>
    <w:p>
      <w:pPr>
        <w:pStyle w:val="ListNumber"/>
        <w:spacing w:after="40"/>
      </w:pPr>
      <w:r>
        <w:t>Review evidence with the customer; document what worked, limitations, operating cost and next investment.</w:t>
      </w:r>
    </w:p>
    <w:p>
      <w:pPr>
        <w:pStyle w:val="ListNumber"/>
        <w:spacing w:after="40"/>
      </w:pPr>
      <w:r>
        <w:t>Convert to subscription, managed service, PaaS integration, lab project or stop with reusable lessons/evidence.</w:t>
      </w:r>
    </w:p>
    <w:p>
      <w:pPr>
        <w:pStyle w:val="Heading2"/>
      </w:pPr>
      <w:r>
        <w:t>10.1 Pilot qualification checklist</w:t>
      </w:r>
    </w:p>
    <w:p>
      <w:pPr>
        <w:pStyle w:val="ListBullet"/>
        <w:spacing w:after="40"/>
      </w:pPr>
      <w:r>
        <w:t>Named customer sponsor and operational user.</w:t>
      </w:r>
    </w:p>
    <w:p>
      <w:pPr>
        <w:pStyle w:val="ListBullet"/>
        <w:spacing w:after="40"/>
      </w:pPr>
      <w:r>
        <w:t>Problem statement measurable within the pilot period.</w:t>
      </w:r>
    </w:p>
    <w:p>
      <w:pPr>
        <w:pStyle w:val="ListBullet"/>
        <w:spacing w:after="40"/>
      </w:pPr>
      <w:r>
        <w:t>Baseline method and accessible/authorized data.</w:t>
      </w:r>
    </w:p>
    <w:p>
      <w:pPr>
        <w:pStyle w:val="ListBullet"/>
        <w:spacing w:after="40"/>
      </w:pPr>
      <w:r>
        <w:t>Data quality, frequency, ownership and permitted use documented.</w:t>
      </w:r>
    </w:p>
    <w:p>
      <w:pPr>
        <w:pStyle w:val="ListBullet"/>
        <w:spacing w:after="40"/>
      </w:pPr>
      <w:r>
        <w:t>Success thresholds agreed before the experiment.</w:t>
      </w:r>
    </w:p>
    <w:p>
      <w:pPr>
        <w:pStyle w:val="ListBullet"/>
        <w:spacing w:after="40"/>
      </w:pPr>
      <w:r>
        <w:t>Human approval and fallback process for consequential recommendations.</w:t>
      </w:r>
    </w:p>
    <w:p>
      <w:pPr>
        <w:pStyle w:val="ListBullet"/>
        <w:spacing w:after="40"/>
      </w:pPr>
      <w:r>
        <w:t>Integration and hosting assumptions agreed.</w:t>
      </w:r>
    </w:p>
    <w:p>
      <w:pPr>
        <w:pStyle w:val="ListBullet"/>
        <w:spacing w:after="40"/>
      </w:pPr>
      <w:r>
        <w:t>Pilot budget, timeline, responsibilities and decision date agreed.</w:t>
      </w:r>
    </w:p>
    <w:p>
      <w:pPr>
        <w:pStyle w:val="ListBullet"/>
        <w:spacing w:after="40"/>
      </w:pPr>
      <w:r>
        <w:t>Exit plan, data handling, IP, confidentiality and reuse rights documented.</w:t>
      </w:r>
    </w:p>
    <w:p>
      <w:pPr>
        <w:pStyle w:val="Heading1"/>
      </w:pPr>
      <w:r>
        <w:t>11. Product readiness and delivery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Readiness area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evidence before broad commercial release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 definition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Named user, supported workflows, exclusions, prerequisites and versioned feature list.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Technical validation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Repeatable tests, error handling, performance observations and known limitations.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AI/QAI claims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Baseline comparison, evaluation protocol, reproducible evidence and approved wording.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Security/privacy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Access model, secrets management, data flow, retention/deletion, logging and incident path appropriate to deployment.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Monitoring, backup/recovery expectations, support ownership, release/rollback and dependency inventory.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Interoperability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Documented APIs/connectors, schemas, versions, test fixtures and change policy.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Commercial/legal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Scope, SLA/support limits, IP ownership/licensing, third-party terms, privacy terms and liability review.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experience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Onboarding, help material, sample workspace/data, feedback path and interface checks.</w:t>
            </w:r>
          </w:p>
        </w:tc>
      </w:tr>
    </w:tbl>
    <w:p/>
    <w:p>
      <w:r>
        <w:t>Use staged internal labels: Research / Prototype / Pilot-ready / Limited commercial / General availability. Assign each module and integration a status based on evidence, not on the existence of code alone.</w:t>
      </w:r>
    </w:p>
    <w:p>
      <w:pPr>
        <w:pStyle w:val="Heading1"/>
      </w:pPr>
      <w:r>
        <w:t>12. Roadmap: first 90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Outputs / exit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Days 1–30: Inventory and offer design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Map current code, demo, modules, interfaces, deployment and limitations to the four offer models.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Capability/readiness matrix; product one-pagers; target persona; pilot hypothesis; cost-driver list.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Days 31–60: Demonstration and integration baseline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Polish one end-to-end Digital Farm workflow; define onboarding/configuration; validate one low-friction data path.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Repeatable demo; synthetic/sample data pack; baseline KPI report; connector contract; draft assurance pack.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Days 61–90: Customer discovery and pilot conversion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Run qualified discovery sessions, gather feedback, scope paid feasibility/pilot work and refine bundles.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Qualified opportunity list; pilot proposal template; pricing model with assumptions; go/no-go decision.</w:t>
            </w:r>
          </w:p>
        </w:tc>
      </w:tr>
    </w:tbl>
    <w:p/>
    <w:p>
      <w:r>
        <w:t>This 90-day plan is a planning cadence, not a delivery guarantee. Adjust it to current code status, customer access, team capacity and external procurement requirements.</w:t>
      </w:r>
    </w:p>
    <w:p>
      <w:pPr>
        <w:pStyle w:val="Heading1"/>
      </w:pPr>
      <w:r>
        <w:t>13. Sales collateral and evidence pack</w:t>
      </w:r>
    </w:p>
    <w:p>
      <w:pPr>
        <w:pStyle w:val="ListBullet"/>
        <w:spacing w:after="40"/>
      </w:pPr>
      <w:r>
        <w:t>One-page company/platform overview and a one-page sheet for each offer.</w:t>
      </w:r>
    </w:p>
    <w:p>
      <w:pPr>
        <w:pStyle w:val="ListBullet"/>
        <w:spacing w:after="40"/>
      </w:pPr>
      <w:r>
        <w:t>Digital Farm demo guide showing user journey and clearly identifying simulated versus live inputs.</w:t>
      </w:r>
    </w:p>
    <w:p>
      <w:pPr>
        <w:pStyle w:val="ListBullet"/>
        <w:spacing w:after="40"/>
      </w:pPr>
      <w:r>
        <w:t>Module catalogue with status, prerequisites, supported data, limits and upgrade path.</w:t>
      </w:r>
    </w:p>
    <w:p>
      <w:pPr>
        <w:pStyle w:val="ListBullet"/>
        <w:spacing w:after="40"/>
      </w:pPr>
      <w:r>
        <w:t>Architecture overview: SaaS/PaaS/IaaS/Lab over shared platform foundations.</w:t>
      </w:r>
    </w:p>
    <w:p>
      <w:pPr>
        <w:pStyle w:val="ListBullet"/>
        <w:spacing w:after="40"/>
      </w:pPr>
      <w:r>
        <w:t>Pilot brief with problem, baseline, KPIs, timeline, customer responsibilities and decision gate.</w:t>
      </w:r>
    </w:p>
    <w:p>
      <w:pPr>
        <w:pStyle w:val="ListBullet"/>
        <w:spacing w:after="40"/>
      </w:pPr>
      <w:r>
        <w:t>Integration guide and data-readiness checklist.</w:t>
      </w:r>
    </w:p>
    <w:p>
      <w:pPr>
        <w:pStyle w:val="ListBullet"/>
        <w:spacing w:after="40"/>
      </w:pPr>
      <w:r>
        <w:t>Security, privacy, AI evaluation, evidence, support and deployment notes appropriate to target buyer.</w:t>
      </w:r>
    </w:p>
    <w:p>
      <w:pPr>
        <w:pStyle w:val="ListBullet"/>
        <w:spacing w:after="40"/>
      </w:pPr>
      <w:r>
        <w:t>Commercial terms: scope, pricing assumptions, third-party costs, IP/reuse, confidentiality and change control.</w:t>
      </w:r>
    </w:p>
    <w:p>
      <w:pPr>
        <w:pStyle w:val="Heading1"/>
      </w:pPr>
      <w:r>
        <w:t>14.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Overclaiming quantum advantage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Damages trust and may mislead buyers.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Baseline-first evaluation; evidence gate; approved claims and explicit limits.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Prototype mistaken for production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Creates reliability, security and contractual exposure.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Readiness labels, release gates, defined support and visible limitations.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Too many modules before buyer validation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Dilutes effort and slows sales.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Lead with one use case; use discovery to select the next module.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 integration cost overruns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 erase margin and delay pilots.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Connector contracts, scoped discovery, assumptions, change control and paid integration.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Unpriced third-party dependencies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Creates unpredictable cost or availability.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pass-through costs and validate vendor access/pricing before commitment.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Sensitive farm/operational data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May create privacy, security or commercial risks.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Minimize collection, define access/retention, use approved data and document responsibility.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Unclear IP/reuse rights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 constrain platform commercialization.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pre-existing platform IP, customer data, commissioned deliverables and permitted generic improvements in contracts.</w:t>
            </w:r>
          </w:p>
        </w:tc>
      </w:tr>
    </w:tbl>
    <w:p/>
    <w:p>
      <w:pPr>
        <w:pStyle w:val="Heading1"/>
      </w:pPr>
      <w:r>
        <w:t>15. Decisions to make before publishing offers</w:t>
      </w:r>
    </w:p>
    <w:p>
      <w:pPr>
        <w:pStyle w:val="ListBullet"/>
        <w:spacing w:after="40"/>
      </w:pPr>
      <w:r>
        <w:t>Choose the lead Digital Farm workflow: QAI-WATER, QAI-CROP, Farm Essentials or another evidence-backed workflow.</w:t>
      </w:r>
    </w:p>
    <w:p>
      <w:pPr>
        <w:pStyle w:val="ListBullet"/>
        <w:spacing w:after="40"/>
      </w:pPr>
      <w:r>
        <w:t>Classify capabilities as demoable, pilot-ready or production-ready and identify supporting tests.</w:t>
      </w:r>
    </w:p>
    <w:p>
      <w:pPr>
        <w:pStyle w:val="ListBullet"/>
        <w:spacing w:after="40"/>
      </w:pPr>
      <w:r>
        <w:t>Define subscription inclusions and separately chargeable services.</w:t>
      </w:r>
    </w:p>
    <w:p>
      <w:pPr>
        <w:pStyle w:val="ListBullet"/>
        <w:spacing w:after="40"/>
      </w:pPr>
      <w:r>
        <w:t>Confirm hosting/deployment options actually supported today.</w:t>
      </w:r>
    </w:p>
    <w:p>
      <w:pPr>
        <w:pStyle w:val="ListBullet"/>
        <w:spacing w:after="40"/>
      </w:pPr>
      <w:r>
        <w:t>Identify integrations that can be demonstrated now versus those requiring paid work.</w:t>
      </w:r>
    </w:p>
    <w:p>
      <w:pPr>
        <w:pStyle w:val="ListBullet"/>
        <w:spacing w:after="40"/>
      </w:pPr>
      <w:r>
        <w:t>Set realistic support hours, response targets, data retention and availability commitments.</w:t>
      </w:r>
    </w:p>
    <w:p>
      <w:pPr>
        <w:pStyle w:val="ListBullet"/>
        <w:spacing w:after="40"/>
      </w:pPr>
      <w:r>
        <w:t>Select pricing currency, billing terms, tax treatment and contracting entity for each market.</w:t>
      </w:r>
    </w:p>
    <w:p>
      <w:pPr>
        <w:pStyle w:val="ListBullet"/>
        <w:spacing w:after="40"/>
      </w:pPr>
      <w:r>
        <w:t>Choose first customer segment/geography and identify buyer-specific procurement/assurance checks.</w:t>
      </w:r>
    </w:p>
    <w:p>
      <w:pPr>
        <w:pStyle w:val="Heading1"/>
      </w:pPr>
      <w:r>
        <w:t>Appendix A — Offer catalogue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Complete for every offer/module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 name, SKU/version, owner, status, target release date.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Buyer, user, job-to-be-done, prerequisites, exclusions.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Capability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Features, workflow, inputs, outputs, APIs, integrations and dependencies.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Tests, baseline, metrics, known limitations, AI/QAI claim wording.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Delivery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Hosting model, onboarding, configuration, support and service boundary.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Commercial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Pricing unit, included quota, overage, third-party charges, renewal and upgrade path.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Governance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 rights, privacy/security, retention, IP/licensing, audit and change control.</w:t>
            </w:r>
          </w:p>
        </w:tc>
      </w:tr>
    </w:tbl>
    <w:p/>
    <w:p>
      <w:pPr>
        <w:pStyle w:val="Heading1"/>
      </w:pPr>
      <w:r>
        <w:t>Appendix B — Current known Digital Farm module family</w:t>
      </w:r>
    </w:p>
    <w:p>
      <w:pPr>
        <w:pStyle w:val="ListBullet"/>
        <w:spacing w:after="40"/>
      </w:pPr>
      <w:r>
        <w:t>QAI-CROP — crop-related domain services.</w:t>
      </w:r>
    </w:p>
    <w:p>
      <w:pPr>
        <w:pStyle w:val="ListBullet"/>
        <w:spacing w:after="40"/>
      </w:pPr>
      <w:r>
        <w:t>QAI-WATER — water monitoring, demand estimation, irrigation scheduling/allocation/optimization and drought scenarios.</w:t>
      </w:r>
    </w:p>
    <w:p>
      <w:pPr>
        <w:pStyle w:val="ListBullet"/>
        <w:spacing w:after="40"/>
      </w:pPr>
      <w:r>
        <w:t>QAI-ASSET — farm asset representation and management.</w:t>
      </w:r>
    </w:p>
    <w:p>
      <w:pPr>
        <w:pStyle w:val="ListBullet"/>
        <w:spacing w:after="40"/>
      </w:pPr>
      <w:r>
        <w:t>QAI-INVENTORY — inventory-related services.</w:t>
      </w:r>
    </w:p>
    <w:p>
      <w:pPr>
        <w:pStyle w:val="ListBullet"/>
        <w:spacing w:after="40"/>
      </w:pPr>
      <w:r>
        <w:t>QAI-WORKFORCE — workforce/task-related services.</w:t>
      </w:r>
    </w:p>
    <w:p>
      <w:pPr>
        <w:pStyle w:val="ListBullet"/>
        <w:spacing w:after="40"/>
      </w:pPr>
      <w:r>
        <w:t>QAI-ECONOMY — economic and value-analysis services.</w:t>
      </w:r>
    </w:p>
    <w:p>
      <w:r>
        <w:t>These are planning-level summaries. Reconcile the final catalogue against the current repository, demo and source product catalogue before treating it as an authoritative specification.</w:t>
      </w:r>
    </w:p>
    <w:p>
      <w:pPr>
        <w:pStyle w:val="Heading1"/>
      </w:pPr>
      <w:r>
        <w:t>Appendix C — Catalogue mapping worksheet</w:t>
      </w:r>
    </w:p>
    <w:p>
      <w:r>
        <w:t>For each line item in the agricultural products catalogue, capture: catalogue item/category; buyer/user; value-chain stage; customer problem; relevant Digital Farm module; SaaS/PaaS/IaaS/Lab fit; integration/data requirement; readiness; evidence gap; likely bundle; pricing unit; owner; next action.</w:t>
      </w:r>
    </w:p>
    <w:p>
      <w:r>
        <w:t>The supplied SlideShare catalogue link was not available as a fully inspectable source in this planning pass. No specific catalogue products have therefore been assumed or mapped. Import the actual PDF/PPT/spreadsheet to complete item-level mapping.</w:t>
      </w:r>
    </w:p>
    <w:p>
      <w:pPr>
        <w:pStyle w:val="Heading1"/>
      </w:pPr>
      <w:r>
        <w:t>Appendix D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Working definition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Artificial intelligence capabilities such as prediction, classification, generation or decision support, subject to validation.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Quantum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Quantum computing, sensing or related technologies where supported and appropriate to the use case.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Hybrid Quantum-AI platform and engineering approach combining classical and AI methods with quantum-related methods where justified.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SaaS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Ready-to-use application delivered as a service.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PaaS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Platform services, APIs and tooling for customers/partners to build or integrate solutions.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IaaS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Infrastructure/resource access and related deployment/operations services.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QAI Lab as a Service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Managed technical environment for experiment design, evaluation, simulation/emulation, execution and evidence capture.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Bhadale IT | QAI Commercial Planning Blueprint | Planning draft — validate readiness before external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F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